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31724" w14:textId="77777777" w:rsidR="009F1292" w:rsidRDefault="009F1292">
      <w:pPr>
        <w:spacing w:after="160" w:line="259" w:lineRule="auto"/>
      </w:pPr>
      <w:bookmarkStart w:id="0" w:name="_Toc505158325"/>
      <w:r>
        <w:rPr>
          <w:noProof/>
        </w:rPr>
        <w:drawing>
          <wp:anchor distT="0" distB="0" distL="114300" distR="114300" simplePos="0" relativeHeight="251659264" behindDoc="0" locked="0" layoutInCell="1" allowOverlap="1" wp14:anchorId="3E6BABD5" wp14:editId="43ABDD2D">
            <wp:simplePos x="914400" y="914400"/>
            <wp:positionH relativeFrom="margin">
              <wp:align>center</wp:align>
            </wp:positionH>
            <wp:positionV relativeFrom="margin">
              <wp:align>top</wp:align>
            </wp:positionV>
            <wp:extent cx="3891600" cy="2617200"/>
            <wp:effectExtent l="0" t="0" r="0" b="0"/>
            <wp:wrapSquare wrapText="bothSides"/>
            <wp:docPr id="6" name="image2.png" descr="AE CMYK"/>
            <wp:cNvGraphicFramePr/>
            <a:graphic xmlns:a="http://schemas.openxmlformats.org/drawingml/2006/main">
              <a:graphicData uri="http://schemas.openxmlformats.org/drawingml/2006/picture">
                <pic:pic xmlns:pic="http://schemas.openxmlformats.org/drawingml/2006/picture">
                  <pic:nvPicPr>
                    <pic:cNvPr id="0" name="image2.png" descr="AE CMYK"/>
                    <pic:cNvPicPr preferRelativeResize="0"/>
                  </pic:nvPicPr>
                  <pic:blipFill>
                    <a:blip r:embed="rId11"/>
                    <a:srcRect/>
                    <a:stretch>
                      <a:fillRect/>
                    </a:stretch>
                  </pic:blipFill>
                  <pic:spPr>
                    <a:xfrm>
                      <a:off x="0" y="0"/>
                      <a:ext cx="3891600" cy="2617200"/>
                    </a:xfrm>
                    <a:prstGeom prst="rect">
                      <a:avLst/>
                    </a:prstGeom>
                    <a:ln>
                      <a:noFill/>
                    </a:ln>
                  </pic:spPr>
                </pic:pic>
              </a:graphicData>
            </a:graphic>
            <wp14:sizeRelH relativeFrom="margin">
              <wp14:pctWidth>0</wp14:pctWidth>
            </wp14:sizeRelH>
            <wp14:sizeRelV relativeFrom="margin">
              <wp14:pctHeight>0</wp14:pctHeight>
            </wp14:sizeRelV>
          </wp:anchor>
        </w:drawing>
      </w:r>
    </w:p>
    <w:p w14:paraId="5EAB8097" w14:textId="77777777" w:rsidR="009F1292" w:rsidRDefault="009F1292">
      <w:pPr>
        <w:spacing w:after="160" w:line="259" w:lineRule="auto"/>
      </w:pPr>
    </w:p>
    <w:p w14:paraId="747109C1" w14:textId="77777777" w:rsidR="009F1292" w:rsidRDefault="009F1292">
      <w:pPr>
        <w:spacing w:after="160" w:line="259" w:lineRule="auto"/>
      </w:pPr>
    </w:p>
    <w:p w14:paraId="2F901658" w14:textId="77777777" w:rsidR="009F1292" w:rsidRDefault="009F1292">
      <w:pPr>
        <w:spacing w:after="160" w:line="259" w:lineRule="auto"/>
        <w:rPr>
          <w:rFonts w:ascii="Arial" w:hAnsi="Arial"/>
          <w:b/>
          <w:sz w:val="32"/>
          <w:lang w:eastAsia="x-none"/>
        </w:rPr>
      </w:pPr>
    </w:p>
    <w:p w14:paraId="45B5F0BB" w14:textId="77777777" w:rsidR="009F1292" w:rsidRDefault="009F1292">
      <w:pPr>
        <w:spacing w:after="160" w:line="259" w:lineRule="auto"/>
        <w:rPr>
          <w:rFonts w:ascii="Arial" w:hAnsi="Arial"/>
          <w:b/>
          <w:sz w:val="32"/>
          <w:lang w:eastAsia="x-none"/>
        </w:rPr>
      </w:pPr>
    </w:p>
    <w:p w14:paraId="6FE109B3" w14:textId="77777777" w:rsidR="009F1292" w:rsidRDefault="009F1292">
      <w:pPr>
        <w:spacing w:after="160" w:line="259" w:lineRule="auto"/>
        <w:rPr>
          <w:rFonts w:ascii="Arial" w:hAnsi="Arial"/>
          <w:b/>
          <w:sz w:val="32"/>
          <w:lang w:eastAsia="x-none"/>
        </w:rPr>
      </w:pPr>
    </w:p>
    <w:p w14:paraId="273E1B14" w14:textId="77777777" w:rsidR="009F1292" w:rsidRDefault="009F1292">
      <w:pPr>
        <w:spacing w:after="160" w:line="259" w:lineRule="auto"/>
        <w:rPr>
          <w:rFonts w:ascii="Arial" w:hAnsi="Arial"/>
          <w:b/>
          <w:sz w:val="32"/>
          <w:lang w:eastAsia="x-none"/>
        </w:rPr>
      </w:pPr>
    </w:p>
    <w:p w14:paraId="14A19C45" w14:textId="77777777" w:rsidR="009F1292" w:rsidRDefault="009F1292">
      <w:pPr>
        <w:spacing w:after="160" w:line="259" w:lineRule="auto"/>
        <w:rPr>
          <w:rFonts w:ascii="Arial" w:hAnsi="Arial"/>
          <w:b/>
          <w:sz w:val="32"/>
          <w:lang w:eastAsia="x-none"/>
        </w:rPr>
      </w:pPr>
    </w:p>
    <w:p w14:paraId="16F4B9EB" w14:textId="77777777" w:rsidR="009F1292" w:rsidRDefault="009F1292">
      <w:pPr>
        <w:spacing w:after="160" w:line="259" w:lineRule="auto"/>
        <w:rPr>
          <w:rFonts w:ascii="Arial" w:hAnsi="Arial"/>
          <w:b/>
          <w:sz w:val="32"/>
          <w:lang w:eastAsia="x-none"/>
        </w:rPr>
      </w:pPr>
    </w:p>
    <w:p w14:paraId="458D1E59" w14:textId="77777777" w:rsidR="009F1292" w:rsidRDefault="009F1292">
      <w:pPr>
        <w:spacing w:after="160" w:line="259" w:lineRule="auto"/>
        <w:rPr>
          <w:rFonts w:ascii="Arial" w:hAnsi="Arial"/>
          <w:b/>
          <w:sz w:val="32"/>
          <w:lang w:eastAsia="x-none"/>
        </w:rPr>
      </w:pPr>
    </w:p>
    <w:p w14:paraId="51D21C17" w14:textId="77777777" w:rsidR="009F1292" w:rsidRDefault="009F1292">
      <w:pPr>
        <w:spacing w:after="160" w:line="259" w:lineRule="auto"/>
        <w:rPr>
          <w:rFonts w:ascii="Arial" w:hAnsi="Arial"/>
          <w:b/>
          <w:sz w:val="32"/>
          <w:lang w:eastAsia="x-none"/>
        </w:rPr>
      </w:pPr>
    </w:p>
    <w:p w14:paraId="048C7D72" w14:textId="77777777" w:rsidR="009F1292" w:rsidRDefault="009F1292">
      <w:pPr>
        <w:spacing w:after="160" w:line="259" w:lineRule="auto"/>
        <w:rPr>
          <w:rFonts w:ascii="Arial" w:hAnsi="Arial"/>
          <w:b/>
          <w:sz w:val="32"/>
          <w:lang w:eastAsia="x-none"/>
        </w:rPr>
      </w:pPr>
    </w:p>
    <w:p w14:paraId="1CB51EC9" w14:textId="77777777" w:rsidR="009F1292" w:rsidRDefault="009F1292">
      <w:pPr>
        <w:spacing w:after="160" w:line="259" w:lineRule="auto"/>
        <w:rPr>
          <w:rFonts w:ascii="Arial" w:hAnsi="Arial"/>
          <w:b/>
          <w:sz w:val="32"/>
          <w:lang w:eastAsia="x-none"/>
        </w:rPr>
      </w:pPr>
    </w:p>
    <w:p w14:paraId="6B6ACA7A" w14:textId="77777777" w:rsidR="009F1292" w:rsidRPr="009F1292" w:rsidRDefault="009F1292" w:rsidP="009F1292">
      <w:pPr>
        <w:spacing w:after="160" w:line="259" w:lineRule="auto"/>
        <w:jc w:val="center"/>
        <w:rPr>
          <w:rFonts w:asciiTheme="majorHAnsi" w:hAnsiTheme="majorHAnsi" w:cstheme="majorHAnsi"/>
          <w:b/>
          <w:sz w:val="72"/>
          <w:szCs w:val="72"/>
          <w:lang w:eastAsia="x-none"/>
        </w:rPr>
      </w:pPr>
      <w:r w:rsidRPr="009F1292">
        <w:rPr>
          <w:rFonts w:asciiTheme="majorHAnsi" w:hAnsiTheme="majorHAnsi" w:cstheme="majorHAnsi"/>
          <w:b/>
          <w:sz w:val="72"/>
          <w:szCs w:val="72"/>
          <w:lang w:eastAsia="x-none"/>
        </w:rPr>
        <w:t>Health and Safety in the Workplace</w:t>
      </w:r>
    </w:p>
    <w:p w14:paraId="7AE692C4" w14:textId="77777777" w:rsidR="009F1292" w:rsidRDefault="009F1292">
      <w:pPr>
        <w:spacing w:after="160" w:line="259" w:lineRule="auto"/>
        <w:rPr>
          <w:rFonts w:ascii="Arial" w:hAnsi="Arial"/>
          <w:b/>
          <w:sz w:val="32"/>
          <w:lang w:eastAsia="x-none"/>
        </w:rPr>
      </w:pPr>
    </w:p>
    <w:p w14:paraId="7A99717F" w14:textId="77777777" w:rsidR="009F1292" w:rsidRDefault="009F1292">
      <w:pPr>
        <w:spacing w:after="160" w:line="259" w:lineRule="auto"/>
        <w:rPr>
          <w:rFonts w:ascii="Arial" w:hAnsi="Arial"/>
          <w:b/>
          <w:sz w:val="32"/>
          <w:lang w:eastAsia="x-none"/>
        </w:rPr>
      </w:pPr>
    </w:p>
    <w:p w14:paraId="6BA3FE8F" w14:textId="77777777" w:rsidR="009F1292" w:rsidRDefault="009F1292">
      <w:pPr>
        <w:spacing w:after="160" w:line="259" w:lineRule="auto"/>
        <w:rPr>
          <w:rFonts w:ascii="Arial" w:hAnsi="Arial"/>
          <w:b/>
          <w:sz w:val="32"/>
          <w:lang w:eastAsia="x-none"/>
        </w:rPr>
      </w:pPr>
    </w:p>
    <w:p w14:paraId="0D69A3AC" w14:textId="77777777" w:rsidR="009F1292" w:rsidRPr="009F1292" w:rsidRDefault="009F1292" w:rsidP="009F1292">
      <w:pPr>
        <w:spacing w:after="160" w:line="259" w:lineRule="auto"/>
        <w:jc w:val="center"/>
        <w:rPr>
          <w:rFonts w:asciiTheme="majorHAnsi" w:hAnsiTheme="majorHAnsi" w:cstheme="majorHAnsi"/>
          <w:b/>
          <w:sz w:val="56"/>
          <w:szCs w:val="56"/>
          <w:lang w:eastAsia="x-none"/>
        </w:rPr>
      </w:pPr>
      <w:r w:rsidRPr="009F1292">
        <w:rPr>
          <w:rFonts w:asciiTheme="majorHAnsi" w:hAnsiTheme="majorHAnsi" w:cstheme="majorHAnsi"/>
          <w:b/>
          <w:sz w:val="56"/>
          <w:szCs w:val="56"/>
          <w:lang w:eastAsia="x-none"/>
        </w:rPr>
        <w:t>Student Resource</w:t>
      </w:r>
    </w:p>
    <w:p w14:paraId="28B8AA5E" w14:textId="77777777" w:rsidR="009F1292" w:rsidRDefault="009F1292">
      <w:pPr>
        <w:spacing w:after="160" w:line="259" w:lineRule="auto"/>
        <w:rPr>
          <w:rFonts w:ascii="Arial" w:hAnsi="Arial"/>
          <w:b/>
          <w:sz w:val="32"/>
          <w:lang w:eastAsia="x-none"/>
        </w:rPr>
      </w:pPr>
      <w:r>
        <w:rPr>
          <w:rFonts w:ascii="Arial" w:hAnsi="Arial"/>
          <w:b/>
          <w:sz w:val="32"/>
          <w:lang w:eastAsia="x-none"/>
        </w:rPr>
        <w:br w:type="page"/>
      </w:r>
    </w:p>
    <w:sdt>
      <w:sdtPr>
        <w:rPr>
          <w:rFonts w:ascii="Times New Roman" w:eastAsia="Times New Roman" w:hAnsi="Times New Roman" w:cs="Times New Roman"/>
          <w:b/>
          <w:color w:val="000000"/>
          <w:kern w:val="28"/>
          <w:sz w:val="20"/>
          <w:szCs w:val="20"/>
          <w:lang w:val="en-AU" w:eastAsia="en-AU"/>
        </w:rPr>
        <w:id w:val="-1375534012"/>
        <w:docPartObj>
          <w:docPartGallery w:val="Table of Contents"/>
          <w:docPartUnique/>
        </w:docPartObj>
      </w:sdtPr>
      <w:sdtEndPr>
        <w:rPr>
          <w:bCs/>
          <w:noProof/>
        </w:rPr>
      </w:sdtEndPr>
      <w:sdtContent>
        <w:p w14:paraId="4F6CAA6B" w14:textId="77777777" w:rsidR="009F1292" w:rsidRPr="009F1292" w:rsidRDefault="009F1292">
          <w:pPr>
            <w:pStyle w:val="TOCHeading"/>
            <w:rPr>
              <w:b/>
            </w:rPr>
          </w:pPr>
          <w:r w:rsidRPr="009F1292">
            <w:rPr>
              <w:b/>
            </w:rPr>
            <w:t>Table of Contents</w:t>
          </w:r>
        </w:p>
        <w:p w14:paraId="16D2B5A6" w14:textId="77777777" w:rsidR="009F1292" w:rsidRPr="009F1292" w:rsidRDefault="009F1292" w:rsidP="009F1292">
          <w:pPr>
            <w:rPr>
              <w:lang w:val="en-US" w:eastAsia="en-US"/>
            </w:rPr>
          </w:pPr>
        </w:p>
        <w:p w14:paraId="2C8F4E90" w14:textId="77777777" w:rsidR="006E10A4" w:rsidRDefault="009F1292">
          <w:pPr>
            <w:pStyle w:val="TOC1"/>
            <w:tabs>
              <w:tab w:val="right" w:leader="dot" w:pos="9016"/>
            </w:tabs>
            <w:rPr>
              <w:rFonts w:cstheme="minorBidi"/>
              <w:noProof/>
              <w:sz w:val="22"/>
              <w:lang w:val="en-AU" w:eastAsia="en-AU"/>
            </w:rPr>
          </w:pPr>
          <w:r>
            <w:fldChar w:fldCharType="begin"/>
          </w:r>
          <w:r>
            <w:instrText xml:space="preserve"> TOC \h \z \u \t "Heading 2,1,Heading 4,2" </w:instrText>
          </w:r>
          <w:r>
            <w:fldChar w:fldCharType="separate"/>
          </w:r>
          <w:hyperlink w:anchor="_Toc64282997" w:history="1">
            <w:r w:rsidR="006E10A4" w:rsidRPr="00F85279">
              <w:rPr>
                <w:rStyle w:val="Hyperlink"/>
                <w:rFonts w:cstheme="minorHAnsi"/>
                <w:noProof/>
                <w:lang w:val="en-AU"/>
              </w:rPr>
              <w:t>Workplace Health and Safety</w:t>
            </w:r>
            <w:r w:rsidR="006E10A4">
              <w:rPr>
                <w:noProof/>
                <w:webHidden/>
              </w:rPr>
              <w:tab/>
            </w:r>
            <w:r w:rsidR="006E10A4">
              <w:rPr>
                <w:noProof/>
                <w:webHidden/>
              </w:rPr>
              <w:fldChar w:fldCharType="begin"/>
            </w:r>
            <w:r w:rsidR="006E10A4">
              <w:rPr>
                <w:noProof/>
                <w:webHidden/>
              </w:rPr>
              <w:instrText xml:space="preserve"> PAGEREF _Toc64282997 \h </w:instrText>
            </w:r>
            <w:r w:rsidR="006E10A4">
              <w:rPr>
                <w:noProof/>
                <w:webHidden/>
              </w:rPr>
            </w:r>
            <w:r w:rsidR="006E10A4">
              <w:rPr>
                <w:noProof/>
                <w:webHidden/>
              </w:rPr>
              <w:fldChar w:fldCharType="separate"/>
            </w:r>
            <w:r w:rsidR="006E10A4">
              <w:rPr>
                <w:noProof/>
                <w:webHidden/>
              </w:rPr>
              <w:t>3</w:t>
            </w:r>
            <w:r w:rsidR="006E10A4">
              <w:rPr>
                <w:noProof/>
                <w:webHidden/>
              </w:rPr>
              <w:fldChar w:fldCharType="end"/>
            </w:r>
          </w:hyperlink>
        </w:p>
        <w:p w14:paraId="10C5B911"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2998" w:history="1">
            <w:r w:rsidR="006E10A4" w:rsidRPr="00F85279">
              <w:rPr>
                <w:rStyle w:val="Hyperlink"/>
                <w:rFonts w:cstheme="minorHAnsi"/>
                <w:noProof/>
              </w:rPr>
              <w:t>Industry Regulations and Codes of Practice</w:t>
            </w:r>
            <w:r w:rsidR="006E10A4">
              <w:rPr>
                <w:noProof/>
                <w:webHidden/>
              </w:rPr>
              <w:tab/>
            </w:r>
            <w:r w:rsidR="006E10A4">
              <w:rPr>
                <w:noProof/>
                <w:webHidden/>
              </w:rPr>
              <w:fldChar w:fldCharType="begin"/>
            </w:r>
            <w:r w:rsidR="006E10A4">
              <w:rPr>
                <w:noProof/>
                <w:webHidden/>
              </w:rPr>
              <w:instrText xml:space="preserve"> PAGEREF _Toc64282998 \h </w:instrText>
            </w:r>
            <w:r w:rsidR="006E10A4">
              <w:rPr>
                <w:noProof/>
                <w:webHidden/>
              </w:rPr>
            </w:r>
            <w:r w:rsidR="006E10A4">
              <w:rPr>
                <w:noProof/>
                <w:webHidden/>
              </w:rPr>
              <w:fldChar w:fldCharType="separate"/>
            </w:r>
            <w:r w:rsidR="006E10A4">
              <w:rPr>
                <w:noProof/>
                <w:webHidden/>
              </w:rPr>
              <w:t>3</w:t>
            </w:r>
            <w:r w:rsidR="006E10A4">
              <w:rPr>
                <w:noProof/>
                <w:webHidden/>
              </w:rPr>
              <w:fldChar w:fldCharType="end"/>
            </w:r>
          </w:hyperlink>
        </w:p>
        <w:p w14:paraId="0C5970FC"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2999" w:history="1">
            <w:r w:rsidR="006E10A4" w:rsidRPr="00F85279">
              <w:rPr>
                <w:rStyle w:val="Hyperlink"/>
                <w:rFonts w:cstheme="minorHAnsi"/>
                <w:noProof/>
              </w:rPr>
              <w:t>Model WHS Laws</w:t>
            </w:r>
            <w:r w:rsidR="006E10A4">
              <w:rPr>
                <w:noProof/>
                <w:webHidden/>
              </w:rPr>
              <w:tab/>
            </w:r>
            <w:r w:rsidR="006E10A4">
              <w:rPr>
                <w:noProof/>
                <w:webHidden/>
              </w:rPr>
              <w:fldChar w:fldCharType="begin"/>
            </w:r>
            <w:r w:rsidR="006E10A4">
              <w:rPr>
                <w:noProof/>
                <w:webHidden/>
              </w:rPr>
              <w:instrText xml:space="preserve"> PAGEREF _Toc64282999 \h </w:instrText>
            </w:r>
            <w:r w:rsidR="006E10A4">
              <w:rPr>
                <w:noProof/>
                <w:webHidden/>
              </w:rPr>
            </w:r>
            <w:r w:rsidR="006E10A4">
              <w:rPr>
                <w:noProof/>
                <w:webHidden/>
              </w:rPr>
              <w:fldChar w:fldCharType="separate"/>
            </w:r>
            <w:r w:rsidR="006E10A4">
              <w:rPr>
                <w:noProof/>
                <w:webHidden/>
              </w:rPr>
              <w:t>3</w:t>
            </w:r>
            <w:r w:rsidR="006E10A4">
              <w:rPr>
                <w:noProof/>
                <w:webHidden/>
              </w:rPr>
              <w:fldChar w:fldCharType="end"/>
            </w:r>
          </w:hyperlink>
        </w:p>
        <w:p w14:paraId="5E5022AD"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0" w:history="1">
            <w:r w:rsidR="006E10A4" w:rsidRPr="00F85279">
              <w:rPr>
                <w:rStyle w:val="Hyperlink"/>
                <w:rFonts w:cstheme="minorHAnsi"/>
                <w:noProof/>
              </w:rPr>
              <w:t>Employer Responsibilities</w:t>
            </w:r>
            <w:r w:rsidR="006E10A4">
              <w:rPr>
                <w:noProof/>
                <w:webHidden/>
              </w:rPr>
              <w:tab/>
            </w:r>
            <w:r w:rsidR="006E10A4">
              <w:rPr>
                <w:noProof/>
                <w:webHidden/>
              </w:rPr>
              <w:fldChar w:fldCharType="begin"/>
            </w:r>
            <w:r w:rsidR="006E10A4">
              <w:rPr>
                <w:noProof/>
                <w:webHidden/>
              </w:rPr>
              <w:instrText xml:space="preserve"> PAGEREF _Toc64283000 \h </w:instrText>
            </w:r>
            <w:r w:rsidR="006E10A4">
              <w:rPr>
                <w:noProof/>
                <w:webHidden/>
              </w:rPr>
            </w:r>
            <w:r w:rsidR="006E10A4">
              <w:rPr>
                <w:noProof/>
                <w:webHidden/>
              </w:rPr>
              <w:fldChar w:fldCharType="separate"/>
            </w:r>
            <w:r w:rsidR="006E10A4">
              <w:rPr>
                <w:noProof/>
                <w:webHidden/>
              </w:rPr>
              <w:t>5</w:t>
            </w:r>
            <w:r w:rsidR="006E10A4">
              <w:rPr>
                <w:noProof/>
                <w:webHidden/>
              </w:rPr>
              <w:fldChar w:fldCharType="end"/>
            </w:r>
          </w:hyperlink>
        </w:p>
        <w:p w14:paraId="434F2A5A"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1" w:history="1">
            <w:r w:rsidR="006E10A4" w:rsidRPr="00F85279">
              <w:rPr>
                <w:rStyle w:val="Hyperlink"/>
                <w:rFonts w:cstheme="minorHAnsi"/>
                <w:noProof/>
              </w:rPr>
              <w:t>Employee Responsibilities</w:t>
            </w:r>
            <w:r w:rsidR="006E10A4">
              <w:rPr>
                <w:noProof/>
                <w:webHidden/>
              </w:rPr>
              <w:tab/>
            </w:r>
            <w:r w:rsidR="006E10A4">
              <w:rPr>
                <w:noProof/>
                <w:webHidden/>
              </w:rPr>
              <w:fldChar w:fldCharType="begin"/>
            </w:r>
            <w:r w:rsidR="006E10A4">
              <w:rPr>
                <w:noProof/>
                <w:webHidden/>
              </w:rPr>
              <w:instrText xml:space="preserve"> PAGEREF _Toc64283001 \h </w:instrText>
            </w:r>
            <w:r w:rsidR="006E10A4">
              <w:rPr>
                <w:noProof/>
                <w:webHidden/>
              </w:rPr>
            </w:r>
            <w:r w:rsidR="006E10A4">
              <w:rPr>
                <w:noProof/>
                <w:webHidden/>
              </w:rPr>
              <w:fldChar w:fldCharType="separate"/>
            </w:r>
            <w:r w:rsidR="006E10A4">
              <w:rPr>
                <w:noProof/>
                <w:webHidden/>
              </w:rPr>
              <w:t>5</w:t>
            </w:r>
            <w:r w:rsidR="006E10A4">
              <w:rPr>
                <w:noProof/>
                <w:webHidden/>
              </w:rPr>
              <w:fldChar w:fldCharType="end"/>
            </w:r>
          </w:hyperlink>
        </w:p>
        <w:p w14:paraId="4F18A0ED"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2" w:history="1">
            <w:r w:rsidR="006E10A4" w:rsidRPr="00F85279">
              <w:rPr>
                <w:rStyle w:val="Hyperlink"/>
                <w:rFonts w:cstheme="minorHAnsi"/>
                <w:noProof/>
              </w:rPr>
              <w:t>Workplace Hazards</w:t>
            </w:r>
            <w:r w:rsidR="006E10A4">
              <w:rPr>
                <w:noProof/>
                <w:webHidden/>
              </w:rPr>
              <w:tab/>
            </w:r>
            <w:r w:rsidR="006E10A4">
              <w:rPr>
                <w:noProof/>
                <w:webHidden/>
              </w:rPr>
              <w:fldChar w:fldCharType="begin"/>
            </w:r>
            <w:r w:rsidR="006E10A4">
              <w:rPr>
                <w:noProof/>
                <w:webHidden/>
              </w:rPr>
              <w:instrText xml:space="preserve"> PAGEREF _Toc64283002 \h </w:instrText>
            </w:r>
            <w:r w:rsidR="006E10A4">
              <w:rPr>
                <w:noProof/>
                <w:webHidden/>
              </w:rPr>
            </w:r>
            <w:r w:rsidR="006E10A4">
              <w:rPr>
                <w:noProof/>
                <w:webHidden/>
              </w:rPr>
              <w:fldChar w:fldCharType="separate"/>
            </w:r>
            <w:r w:rsidR="006E10A4">
              <w:rPr>
                <w:noProof/>
                <w:webHidden/>
              </w:rPr>
              <w:t>5</w:t>
            </w:r>
            <w:r w:rsidR="006E10A4">
              <w:rPr>
                <w:noProof/>
                <w:webHidden/>
              </w:rPr>
              <w:fldChar w:fldCharType="end"/>
            </w:r>
          </w:hyperlink>
        </w:p>
        <w:p w14:paraId="7EE282F4"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3" w:history="1">
            <w:r w:rsidR="006E10A4" w:rsidRPr="00F85279">
              <w:rPr>
                <w:rStyle w:val="Hyperlink"/>
                <w:rFonts w:cstheme="minorHAnsi"/>
                <w:noProof/>
              </w:rPr>
              <w:t>Common Hazards in an Office Environment</w:t>
            </w:r>
            <w:r w:rsidR="006E10A4">
              <w:rPr>
                <w:noProof/>
                <w:webHidden/>
              </w:rPr>
              <w:tab/>
            </w:r>
            <w:r w:rsidR="006E10A4">
              <w:rPr>
                <w:noProof/>
                <w:webHidden/>
              </w:rPr>
              <w:fldChar w:fldCharType="begin"/>
            </w:r>
            <w:r w:rsidR="006E10A4">
              <w:rPr>
                <w:noProof/>
                <w:webHidden/>
              </w:rPr>
              <w:instrText xml:space="preserve"> PAGEREF _Toc64283003 \h </w:instrText>
            </w:r>
            <w:r w:rsidR="006E10A4">
              <w:rPr>
                <w:noProof/>
                <w:webHidden/>
              </w:rPr>
            </w:r>
            <w:r w:rsidR="006E10A4">
              <w:rPr>
                <w:noProof/>
                <w:webHidden/>
              </w:rPr>
              <w:fldChar w:fldCharType="separate"/>
            </w:r>
            <w:r w:rsidR="006E10A4">
              <w:rPr>
                <w:noProof/>
                <w:webHidden/>
              </w:rPr>
              <w:t>6</w:t>
            </w:r>
            <w:r w:rsidR="006E10A4">
              <w:rPr>
                <w:noProof/>
                <w:webHidden/>
              </w:rPr>
              <w:fldChar w:fldCharType="end"/>
            </w:r>
          </w:hyperlink>
        </w:p>
        <w:p w14:paraId="52C6C932"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4" w:history="1">
            <w:r w:rsidR="006E10A4" w:rsidRPr="00F85279">
              <w:rPr>
                <w:rStyle w:val="Hyperlink"/>
                <w:rFonts w:cstheme="minorHAnsi"/>
                <w:noProof/>
              </w:rPr>
              <w:t>Assessing Risks</w:t>
            </w:r>
            <w:r w:rsidR="006E10A4">
              <w:rPr>
                <w:noProof/>
                <w:webHidden/>
              </w:rPr>
              <w:tab/>
            </w:r>
            <w:r w:rsidR="006E10A4">
              <w:rPr>
                <w:noProof/>
                <w:webHidden/>
              </w:rPr>
              <w:fldChar w:fldCharType="begin"/>
            </w:r>
            <w:r w:rsidR="006E10A4">
              <w:rPr>
                <w:noProof/>
                <w:webHidden/>
              </w:rPr>
              <w:instrText xml:space="preserve"> PAGEREF _Toc64283004 \h </w:instrText>
            </w:r>
            <w:r w:rsidR="006E10A4">
              <w:rPr>
                <w:noProof/>
                <w:webHidden/>
              </w:rPr>
            </w:r>
            <w:r w:rsidR="006E10A4">
              <w:rPr>
                <w:noProof/>
                <w:webHidden/>
              </w:rPr>
              <w:fldChar w:fldCharType="separate"/>
            </w:r>
            <w:r w:rsidR="006E10A4">
              <w:rPr>
                <w:noProof/>
                <w:webHidden/>
              </w:rPr>
              <w:t>8</w:t>
            </w:r>
            <w:r w:rsidR="006E10A4">
              <w:rPr>
                <w:noProof/>
                <w:webHidden/>
              </w:rPr>
              <w:fldChar w:fldCharType="end"/>
            </w:r>
          </w:hyperlink>
        </w:p>
        <w:p w14:paraId="2F215510"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5" w:history="1">
            <w:r w:rsidR="006E10A4" w:rsidRPr="00F85279">
              <w:rPr>
                <w:rStyle w:val="Hyperlink"/>
                <w:rFonts w:cstheme="minorHAnsi"/>
                <w:noProof/>
              </w:rPr>
              <w:t>The Hierarchy of Risk Control</w:t>
            </w:r>
            <w:r w:rsidR="006E10A4">
              <w:rPr>
                <w:noProof/>
                <w:webHidden/>
              </w:rPr>
              <w:tab/>
            </w:r>
            <w:r w:rsidR="006E10A4">
              <w:rPr>
                <w:noProof/>
                <w:webHidden/>
              </w:rPr>
              <w:fldChar w:fldCharType="begin"/>
            </w:r>
            <w:r w:rsidR="006E10A4">
              <w:rPr>
                <w:noProof/>
                <w:webHidden/>
              </w:rPr>
              <w:instrText xml:space="preserve"> PAGEREF _Toc64283005 \h </w:instrText>
            </w:r>
            <w:r w:rsidR="006E10A4">
              <w:rPr>
                <w:noProof/>
                <w:webHidden/>
              </w:rPr>
            </w:r>
            <w:r w:rsidR="006E10A4">
              <w:rPr>
                <w:noProof/>
                <w:webHidden/>
              </w:rPr>
              <w:fldChar w:fldCharType="separate"/>
            </w:r>
            <w:r w:rsidR="006E10A4">
              <w:rPr>
                <w:noProof/>
                <w:webHidden/>
              </w:rPr>
              <w:t>9</w:t>
            </w:r>
            <w:r w:rsidR="006E10A4">
              <w:rPr>
                <w:noProof/>
                <w:webHidden/>
              </w:rPr>
              <w:fldChar w:fldCharType="end"/>
            </w:r>
          </w:hyperlink>
        </w:p>
        <w:p w14:paraId="2CC90EBF" w14:textId="77777777" w:rsidR="006E10A4" w:rsidRDefault="00000000">
          <w:pPr>
            <w:pStyle w:val="TOC2"/>
            <w:tabs>
              <w:tab w:val="right" w:leader="dot" w:pos="9016"/>
            </w:tabs>
            <w:rPr>
              <w:rFonts w:eastAsiaTheme="minorEastAsia" w:cstheme="minorBidi"/>
              <w:noProof/>
              <w:color w:val="auto"/>
              <w:kern w:val="0"/>
              <w:sz w:val="22"/>
              <w:szCs w:val="22"/>
            </w:rPr>
          </w:pPr>
          <w:hyperlink w:anchor="_Toc64283006" w:history="1">
            <w:r w:rsidR="006E10A4" w:rsidRPr="00F85279">
              <w:rPr>
                <w:rStyle w:val="Hyperlink"/>
                <w:rFonts w:cstheme="minorHAnsi"/>
                <w:noProof/>
              </w:rPr>
              <w:t>Worker’s Rights under WHS Laws</w:t>
            </w:r>
            <w:r w:rsidR="006E10A4">
              <w:rPr>
                <w:noProof/>
                <w:webHidden/>
              </w:rPr>
              <w:tab/>
            </w:r>
            <w:r w:rsidR="006E10A4">
              <w:rPr>
                <w:noProof/>
                <w:webHidden/>
              </w:rPr>
              <w:fldChar w:fldCharType="begin"/>
            </w:r>
            <w:r w:rsidR="006E10A4">
              <w:rPr>
                <w:noProof/>
                <w:webHidden/>
              </w:rPr>
              <w:instrText xml:space="preserve"> PAGEREF _Toc64283006 \h </w:instrText>
            </w:r>
            <w:r w:rsidR="006E10A4">
              <w:rPr>
                <w:noProof/>
                <w:webHidden/>
              </w:rPr>
            </w:r>
            <w:r w:rsidR="006E10A4">
              <w:rPr>
                <w:noProof/>
                <w:webHidden/>
              </w:rPr>
              <w:fldChar w:fldCharType="separate"/>
            </w:r>
            <w:r w:rsidR="006E10A4">
              <w:rPr>
                <w:noProof/>
                <w:webHidden/>
              </w:rPr>
              <w:t>11</w:t>
            </w:r>
            <w:r w:rsidR="006E10A4">
              <w:rPr>
                <w:noProof/>
                <w:webHidden/>
              </w:rPr>
              <w:fldChar w:fldCharType="end"/>
            </w:r>
          </w:hyperlink>
        </w:p>
        <w:p w14:paraId="38477740" w14:textId="77777777" w:rsidR="009F1292" w:rsidRDefault="009F1292">
          <w:r>
            <w:fldChar w:fldCharType="end"/>
          </w:r>
        </w:p>
      </w:sdtContent>
    </w:sdt>
    <w:p w14:paraId="28B69F21" w14:textId="77777777" w:rsidR="009F1292" w:rsidRDefault="009F1292">
      <w:pPr>
        <w:spacing w:after="160" w:line="259" w:lineRule="auto"/>
        <w:rPr>
          <w:rFonts w:ascii="Arial" w:hAnsi="Arial"/>
          <w:b/>
          <w:sz w:val="32"/>
          <w:lang w:eastAsia="x-none"/>
        </w:rPr>
      </w:pPr>
      <w:r>
        <w:br w:type="page"/>
      </w:r>
    </w:p>
    <w:p w14:paraId="01037668" w14:textId="77777777" w:rsidR="00565932" w:rsidRPr="00771E96" w:rsidRDefault="00565932" w:rsidP="00565932">
      <w:pPr>
        <w:pStyle w:val="Heading2"/>
        <w:rPr>
          <w:rFonts w:asciiTheme="minorHAnsi" w:hAnsiTheme="minorHAnsi" w:cstheme="minorHAnsi"/>
        </w:rPr>
      </w:pPr>
      <w:bookmarkStart w:id="1" w:name="_Toc64282997"/>
      <w:r w:rsidRPr="00771E96">
        <w:rPr>
          <w:rFonts w:asciiTheme="minorHAnsi" w:hAnsiTheme="minorHAnsi" w:cstheme="minorHAnsi"/>
          <w:lang w:val="en-AU"/>
        </w:rPr>
        <w:lastRenderedPageBreak/>
        <w:t>Workplace Health and Safety</w:t>
      </w:r>
      <w:bookmarkEnd w:id="0"/>
      <w:bookmarkEnd w:id="1"/>
    </w:p>
    <w:p w14:paraId="7CE216D8" w14:textId="77777777" w:rsidR="00565932" w:rsidRPr="00771E96" w:rsidRDefault="00565932" w:rsidP="00565932">
      <w:pPr>
        <w:pStyle w:val="BodyText"/>
        <w:tabs>
          <w:tab w:val="left" w:leader="underscore" w:pos="7938"/>
        </w:tabs>
        <w:rPr>
          <w:rFonts w:asciiTheme="minorHAnsi" w:hAnsiTheme="minorHAnsi" w:cstheme="minorHAnsi"/>
          <w:sz w:val="22"/>
          <w:szCs w:val="22"/>
        </w:rPr>
      </w:pPr>
    </w:p>
    <w:p w14:paraId="08935CFA" w14:textId="77777777" w:rsidR="00565932" w:rsidRPr="00771E96" w:rsidRDefault="00565932" w:rsidP="009F1292">
      <w:pPr>
        <w:pStyle w:val="Heading4"/>
        <w:rPr>
          <w:rFonts w:asciiTheme="minorHAnsi" w:hAnsiTheme="minorHAnsi" w:cstheme="minorHAnsi"/>
        </w:rPr>
      </w:pPr>
      <w:bookmarkStart w:id="2" w:name="_Toc64282998"/>
      <w:r w:rsidRPr="00771E96">
        <w:rPr>
          <w:rFonts w:asciiTheme="minorHAnsi" w:hAnsiTheme="minorHAnsi" w:cstheme="minorHAnsi"/>
        </w:rPr>
        <w:t>Industry Regulations and Codes of Practice</w:t>
      </w:r>
      <w:bookmarkEnd w:id="2"/>
      <w:r w:rsidRPr="00771E96">
        <w:rPr>
          <w:rFonts w:asciiTheme="minorHAnsi" w:hAnsiTheme="minorHAnsi" w:cstheme="minorHAnsi"/>
        </w:rPr>
        <w:br/>
      </w:r>
    </w:p>
    <w:p w14:paraId="18628F41" w14:textId="77777777" w:rsidR="00565932" w:rsidRPr="00771E96" w:rsidRDefault="00565932" w:rsidP="00565932">
      <w:pPr>
        <w:rPr>
          <w:rFonts w:asciiTheme="minorHAnsi" w:hAnsiTheme="minorHAnsi" w:cstheme="minorHAnsi"/>
          <w:sz w:val="22"/>
          <w:szCs w:val="22"/>
          <w:lang w:val="x-none" w:eastAsia="x-none"/>
        </w:rPr>
      </w:pPr>
      <w:r w:rsidRPr="00771E96">
        <w:rPr>
          <w:rFonts w:asciiTheme="minorHAnsi" w:hAnsiTheme="minorHAnsi" w:cstheme="minorHAnsi"/>
          <w:sz w:val="22"/>
          <w:szCs w:val="22"/>
          <w:lang w:val="x-none" w:eastAsia="x-none"/>
        </w:rPr>
        <w:t>All workers in Australia should be aware of their rights and obligations for a safe work environment, as prescribed in the various Workplace Health &amp; Safety (WHS) legislation.  State and Territory WHS Acts provide workers and employers with an overview of how to ensure workplaces remain safe and healthy. The Acts also outline the legal responsibilities and duties for employers and business owners.</w:t>
      </w:r>
    </w:p>
    <w:p w14:paraId="181E7F71" w14:textId="77777777" w:rsidR="00565932" w:rsidRPr="00771E96" w:rsidRDefault="00565932" w:rsidP="00565932">
      <w:pPr>
        <w:rPr>
          <w:rFonts w:asciiTheme="minorHAnsi" w:hAnsiTheme="minorHAnsi" w:cstheme="minorHAnsi"/>
          <w:sz w:val="22"/>
          <w:szCs w:val="22"/>
          <w:lang w:val="x-none" w:eastAsia="x-none"/>
        </w:rPr>
      </w:pPr>
    </w:p>
    <w:p w14:paraId="650BC8D2" w14:textId="77777777" w:rsidR="00565932" w:rsidRPr="00771E96" w:rsidRDefault="00565932" w:rsidP="00565932">
      <w:pPr>
        <w:rPr>
          <w:rFonts w:asciiTheme="minorHAnsi" w:hAnsiTheme="minorHAnsi" w:cstheme="minorHAnsi"/>
          <w:sz w:val="22"/>
          <w:szCs w:val="22"/>
          <w:lang w:val="x-none" w:eastAsia="x-none"/>
        </w:rPr>
      </w:pPr>
      <w:r w:rsidRPr="00771E96">
        <w:rPr>
          <w:rFonts w:asciiTheme="minorHAnsi" w:hAnsiTheme="minorHAnsi" w:cstheme="minorHAnsi"/>
          <w:sz w:val="22"/>
          <w:szCs w:val="22"/>
          <w:lang w:val="x-none" w:eastAsia="x-none"/>
        </w:rPr>
        <w:t>The WHS Acts are supported by industry regulations and codes of practice. The industry regulations set out standards required for hazards and risks that are specific to various industries. Some examples include; electricity safety, the use of scaffolding, prevention of falls, noise control and the use of protective clothing and equipment. The regulations also specify licences you may require, and the WHS records and reporting requirements.</w:t>
      </w:r>
    </w:p>
    <w:p w14:paraId="10241807" w14:textId="77777777" w:rsidR="00565932" w:rsidRPr="00771E96" w:rsidRDefault="00565932" w:rsidP="00565932">
      <w:pPr>
        <w:rPr>
          <w:rFonts w:asciiTheme="minorHAnsi" w:hAnsiTheme="minorHAnsi" w:cstheme="minorHAnsi"/>
          <w:sz w:val="22"/>
          <w:szCs w:val="22"/>
          <w:lang w:val="x-none" w:eastAsia="x-none"/>
        </w:rPr>
      </w:pPr>
    </w:p>
    <w:p w14:paraId="53BA820F" w14:textId="77777777" w:rsidR="00565932" w:rsidRPr="00771E96" w:rsidRDefault="00565932" w:rsidP="00565932">
      <w:pPr>
        <w:rPr>
          <w:rFonts w:asciiTheme="minorHAnsi" w:hAnsiTheme="minorHAnsi" w:cstheme="minorHAnsi"/>
          <w:sz w:val="22"/>
          <w:szCs w:val="22"/>
          <w:lang w:val="x-none" w:eastAsia="x-none"/>
        </w:rPr>
      </w:pPr>
      <w:r w:rsidRPr="00771E96">
        <w:rPr>
          <w:rFonts w:asciiTheme="minorHAnsi" w:hAnsiTheme="minorHAnsi" w:cstheme="minorHAnsi"/>
          <w:sz w:val="22"/>
          <w:szCs w:val="22"/>
          <w:lang w:val="x-none" w:eastAsia="x-none"/>
        </w:rPr>
        <w:t>Codes of practice provide employers and workers with the practical guidance required to achieve the standards specified in the various WHS Acts and Regulations.</w:t>
      </w:r>
    </w:p>
    <w:p w14:paraId="351C5829" w14:textId="77777777" w:rsidR="00565932" w:rsidRPr="00771E96" w:rsidRDefault="00565932" w:rsidP="00565932">
      <w:pPr>
        <w:rPr>
          <w:rFonts w:asciiTheme="minorHAnsi" w:hAnsiTheme="minorHAnsi" w:cstheme="minorHAnsi"/>
        </w:rPr>
      </w:pPr>
    </w:p>
    <w:p w14:paraId="1B6EE727" w14:textId="77777777" w:rsidR="00565932" w:rsidRPr="00771E96" w:rsidRDefault="00565932" w:rsidP="00565932">
      <w:pPr>
        <w:jc w:val="both"/>
        <w:rPr>
          <w:rFonts w:asciiTheme="minorHAnsi" w:hAnsiTheme="minorHAnsi" w:cstheme="minorHAnsi"/>
          <w:b/>
          <w:sz w:val="22"/>
          <w:szCs w:val="22"/>
        </w:rPr>
      </w:pPr>
    </w:p>
    <w:p w14:paraId="08A676DF" w14:textId="77777777" w:rsidR="00565932" w:rsidRPr="00771E96" w:rsidRDefault="00565932" w:rsidP="009F1292">
      <w:pPr>
        <w:pStyle w:val="Heading4"/>
        <w:rPr>
          <w:rFonts w:asciiTheme="minorHAnsi" w:hAnsiTheme="minorHAnsi" w:cstheme="minorHAnsi"/>
        </w:rPr>
      </w:pPr>
      <w:bookmarkStart w:id="3" w:name="_Toc64282999"/>
      <w:r w:rsidRPr="00771E96">
        <w:rPr>
          <w:rFonts w:asciiTheme="minorHAnsi" w:hAnsiTheme="minorHAnsi" w:cstheme="minorHAnsi"/>
        </w:rPr>
        <w:t>Model WHS Laws</w:t>
      </w:r>
      <w:bookmarkEnd w:id="3"/>
    </w:p>
    <w:p w14:paraId="752B0939" w14:textId="77777777" w:rsidR="00565932" w:rsidRPr="00771E96" w:rsidRDefault="00565932" w:rsidP="00565932">
      <w:pPr>
        <w:jc w:val="both"/>
        <w:rPr>
          <w:rFonts w:asciiTheme="minorHAnsi" w:hAnsiTheme="minorHAnsi" w:cstheme="minorHAnsi"/>
          <w:b/>
          <w:sz w:val="22"/>
          <w:szCs w:val="22"/>
        </w:rPr>
      </w:pPr>
    </w:p>
    <w:p w14:paraId="0F0DC31A" w14:textId="77777777" w:rsidR="00565932" w:rsidRPr="00771E96" w:rsidRDefault="00565932" w:rsidP="00565932">
      <w:pPr>
        <w:rPr>
          <w:rFonts w:asciiTheme="minorHAnsi" w:hAnsiTheme="minorHAnsi" w:cstheme="minorHAnsi"/>
          <w:sz w:val="22"/>
          <w:szCs w:val="22"/>
          <w:lang w:val="x-none" w:eastAsia="x-none"/>
        </w:rPr>
      </w:pPr>
      <w:r w:rsidRPr="00771E96">
        <w:rPr>
          <w:rFonts w:asciiTheme="minorHAnsi" w:hAnsiTheme="minorHAnsi" w:cstheme="minorHAnsi"/>
          <w:sz w:val="22"/>
          <w:szCs w:val="22"/>
          <w:lang w:val="x-none" w:eastAsia="x-none"/>
        </w:rPr>
        <w:t>Prior to 2011, each of the states and territories in Australian had different Occupational Health and Safety (OHS) laws.  In order to achieve greater consistency across the country, the state and territory governments agreed to develop model laws (WHS Act and Regulations), on which each state or territory could base their individual health and safety laws.</w:t>
      </w:r>
      <w:bookmarkStart w:id="4" w:name="_d4jfrqwt7rhy" w:colFirst="0" w:colLast="0"/>
      <w:bookmarkEnd w:id="4"/>
      <w:r w:rsidRPr="00771E96">
        <w:rPr>
          <w:rFonts w:asciiTheme="minorHAnsi" w:hAnsiTheme="minorHAnsi" w:cstheme="minorHAnsi"/>
          <w:sz w:val="22"/>
          <w:szCs w:val="22"/>
          <w:lang w:val="x-none" w:eastAsia="x-none"/>
        </w:rPr>
        <w:t xml:space="preserve">  Safe Work Australia is responsible for the development of these ‘model’ laws, however in order for them to become legally binding, each state or territory is required to implement them as their own laws.</w:t>
      </w:r>
    </w:p>
    <w:p w14:paraId="1E02656F" w14:textId="77777777" w:rsidR="00565932" w:rsidRPr="00771E96" w:rsidRDefault="00565932" w:rsidP="00565932">
      <w:pPr>
        <w:rPr>
          <w:rFonts w:asciiTheme="minorHAnsi" w:eastAsia="Arial" w:hAnsiTheme="minorHAnsi" w:cstheme="minorHAnsi"/>
          <w:color w:val="333333"/>
          <w:sz w:val="22"/>
          <w:szCs w:val="22"/>
        </w:rPr>
      </w:pPr>
      <w:r w:rsidRPr="00771E96">
        <w:rPr>
          <w:rFonts w:asciiTheme="minorHAnsi" w:hAnsiTheme="minorHAnsi" w:cstheme="minorHAnsi"/>
          <w:sz w:val="22"/>
          <w:szCs w:val="22"/>
          <w:lang w:val="x-none" w:eastAsia="x-none"/>
        </w:rPr>
        <w:t>As at January 20</w:t>
      </w:r>
      <w:r w:rsidR="00660402">
        <w:rPr>
          <w:rFonts w:asciiTheme="minorHAnsi" w:hAnsiTheme="minorHAnsi" w:cstheme="minorHAnsi"/>
          <w:sz w:val="22"/>
          <w:szCs w:val="22"/>
          <w:lang w:eastAsia="x-none"/>
        </w:rPr>
        <w:t>20</w:t>
      </w:r>
      <w:r w:rsidRPr="00771E96">
        <w:rPr>
          <w:rFonts w:asciiTheme="minorHAnsi" w:hAnsiTheme="minorHAnsi" w:cstheme="minorHAnsi"/>
          <w:sz w:val="22"/>
          <w:szCs w:val="22"/>
          <w:lang w:val="x-none" w:eastAsia="x-none"/>
        </w:rPr>
        <w:t>, the </w:t>
      </w:r>
      <w:hyperlink r:id="rId12" w:anchor="model_WHS_laws" w:history="1">
        <w:r w:rsidRPr="00771E96">
          <w:rPr>
            <w:rFonts w:asciiTheme="minorHAnsi" w:hAnsiTheme="minorHAnsi" w:cstheme="minorHAnsi"/>
            <w:sz w:val="22"/>
            <w:szCs w:val="22"/>
            <w:lang w:val="x-none" w:eastAsia="x-none"/>
          </w:rPr>
          <w:t>model WHS laws</w:t>
        </w:r>
      </w:hyperlink>
      <w:r w:rsidRPr="00771E96">
        <w:rPr>
          <w:rFonts w:asciiTheme="minorHAnsi" w:hAnsiTheme="minorHAnsi" w:cstheme="minorHAnsi"/>
          <w:sz w:val="22"/>
          <w:szCs w:val="22"/>
          <w:lang w:val="x-none" w:eastAsia="x-none"/>
        </w:rPr>
        <w:t xml:space="preserve"> have been implemented by the Australian Capital Territory, New South Wales, the Northern Territory, Queensland, South Australia, Tasmania and the Commonwealth. To find out more about the model WHS laws refer to the </w:t>
      </w:r>
      <w:hyperlink r:id="rId13">
        <w:r w:rsidRPr="00771E96">
          <w:rPr>
            <w:rFonts w:asciiTheme="minorHAnsi" w:hAnsiTheme="minorHAnsi" w:cstheme="minorHAnsi"/>
            <w:sz w:val="22"/>
            <w:szCs w:val="22"/>
            <w:lang w:val="x-none" w:eastAsia="x-none"/>
          </w:rPr>
          <w:t>Safe Work Australia</w:t>
        </w:r>
      </w:hyperlink>
      <w:r w:rsidRPr="00771E96">
        <w:rPr>
          <w:rFonts w:asciiTheme="minorHAnsi" w:hAnsiTheme="minorHAnsi" w:cstheme="minorHAnsi"/>
          <w:sz w:val="22"/>
          <w:szCs w:val="22"/>
          <w:lang w:val="x-none" w:eastAsia="x-none"/>
        </w:rPr>
        <w:t xml:space="preserve"> website at</w:t>
      </w:r>
      <w:r w:rsidRPr="00771E96">
        <w:rPr>
          <w:rFonts w:asciiTheme="minorHAnsi" w:hAnsiTheme="minorHAnsi" w:cstheme="minorHAnsi"/>
          <w:color w:val="auto"/>
          <w:sz w:val="22"/>
          <w:szCs w:val="22"/>
        </w:rPr>
        <w:t xml:space="preserve"> </w:t>
      </w:r>
      <w:r w:rsidRPr="00771E96">
        <w:rPr>
          <w:rFonts w:asciiTheme="minorHAnsi" w:eastAsia="Tahoma" w:hAnsiTheme="minorHAnsi" w:cstheme="minorHAnsi"/>
          <w:color w:val="0000FF"/>
          <w:sz w:val="22"/>
          <w:szCs w:val="22"/>
          <w:u w:val="single"/>
        </w:rPr>
        <w:t>http://www.safeworkaustralia.gov.au/</w:t>
      </w:r>
    </w:p>
    <w:p w14:paraId="5CFA1483" w14:textId="77777777" w:rsidR="00565932" w:rsidRPr="00771E96" w:rsidRDefault="00565932" w:rsidP="00565932">
      <w:pPr>
        <w:rPr>
          <w:rFonts w:asciiTheme="minorHAnsi" w:hAnsiTheme="minorHAnsi" w:cstheme="minorHAnsi"/>
        </w:rPr>
      </w:pPr>
    </w:p>
    <w:p w14:paraId="00F1C07B" w14:textId="77777777" w:rsidR="00565932" w:rsidRPr="00771E96" w:rsidRDefault="00000000" w:rsidP="00565932">
      <w:pPr>
        <w:rPr>
          <w:rFonts w:asciiTheme="minorHAnsi" w:hAnsiTheme="minorHAnsi" w:cstheme="minorHAnsi"/>
          <w:sz w:val="22"/>
          <w:szCs w:val="22"/>
          <w:lang w:val="x-none" w:eastAsia="x-none"/>
        </w:rPr>
      </w:pPr>
      <w:hyperlink r:id="rId14">
        <w:r w:rsidR="00565932" w:rsidRPr="00771E96">
          <w:rPr>
            <w:rFonts w:asciiTheme="minorHAnsi" w:hAnsiTheme="minorHAnsi" w:cstheme="minorHAnsi"/>
            <w:sz w:val="22"/>
            <w:szCs w:val="22"/>
            <w:lang w:val="x-none" w:eastAsia="x-none"/>
          </w:rPr>
          <w:t>Safe Work Australia</w:t>
        </w:r>
      </w:hyperlink>
      <w:r w:rsidR="00565932" w:rsidRPr="00771E96">
        <w:rPr>
          <w:rFonts w:asciiTheme="minorHAnsi" w:hAnsiTheme="minorHAnsi" w:cstheme="minorHAnsi"/>
          <w:sz w:val="22"/>
          <w:szCs w:val="22"/>
          <w:lang w:val="x-none" w:eastAsia="x-none"/>
        </w:rPr>
        <w:t xml:space="preserve"> provides </w:t>
      </w:r>
      <w:r w:rsidR="00DD224B">
        <w:rPr>
          <w:rFonts w:asciiTheme="minorHAnsi" w:hAnsiTheme="minorHAnsi" w:cstheme="minorHAnsi"/>
          <w:sz w:val="22"/>
          <w:szCs w:val="22"/>
          <w:lang w:eastAsia="x-none"/>
        </w:rPr>
        <w:t xml:space="preserve">guidelines, </w:t>
      </w:r>
      <w:r w:rsidR="00565932" w:rsidRPr="00771E96">
        <w:rPr>
          <w:rFonts w:asciiTheme="minorHAnsi" w:hAnsiTheme="minorHAnsi" w:cstheme="minorHAnsi"/>
          <w:sz w:val="22"/>
          <w:szCs w:val="22"/>
          <w:lang w:val="x-none" w:eastAsia="x-none"/>
        </w:rPr>
        <w:t>training and advice on workplace health and safety issues but does not get involved in regulation or the enforcement of WHS legislation</w:t>
      </w:r>
      <w:r w:rsidR="00DD224B">
        <w:rPr>
          <w:rFonts w:asciiTheme="minorHAnsi" w:hAnsiTheme="minorHAnsi" w:cstheme="minorHAnsi"/>
          <w:sz w:val="22"/>
          <w:szCs w:val="22"/>
          <w:lang w:eastAsia="x-none"/>
        </w:rPr>
        <w:t xml:space="preserve">, this is the responsibility of the </w:t>
      </w:r>
      <w:r w:rsidR="004179DA">
        <w:rPr>
          <w:rFonts w:asciiTheme="minorHAnsi" w:hAnsiTheme="minorHAnsi" w:cstheme="minorHAnsi"/>
          <w:sz w:val="22"/>
          <w:szCs w:val="22"/>
          <w:lang w:eastAsia="x-none"/>
        </w:rPr>
        <w:t xml:space="preserve">Commonwealth, state and territory </w:t>
      </w:r>
      <w:r w:rsidR="00DD224B">
        <w:rPr>
          <w:rFonts w:asciiTheme="minorHAnsi" w:hAnsiTheme="minorHAnsi" w:cstheme="minorHAnsi"/>
          <w:sz w:val="22"/>
          <w:szCs w:val="22"/>
          <w:lang w:eastAsia="x-none"/>
        </w:rPr>
        <w:t>regulators and based on each state or territory’s Work Health and Safety Act.</w:t>
      </w:r>
    </w:p>
    <w:p w14:paraId="5571EED2" w14:textId="77777777" w:rsidR="00DD224B" w:rsidRDefault="00DD224B">
      <w:pPr>
        <w:spacing w:after="160" w:line="259" w:lineRule="auto"/>
        <w:rPr>
          <w:rFonts w:asciiTheme="minorHAnsi" w:hAnsiTheme="minorHAnsi" w:cstheme="minorHAnsi"/>
          <w:sz w:val="22"/>
          <w:szCs w:val="22"/>
          <w:lang w:val="x-none" w:eastAsia="x-none"/>
        </w:rPr>
      </w:pPr>
      <w:r>
        <w:rPr>
          <w:rFonts w:asciiTheme="minorHAnsi" w:hAnsiTheme="minorHAnsi" w:cstheme="minorHAnsi"/>
          <w:sz w:val="22"/>
          <w:szCs w:val="22"/>
          <w:lang w:val="x-none" w:eastAsia="x-none"/>
        </w:rPr>
        <w:br w:type="page"/>
      </w:r>
    </w:p>
    <w:p w14:paraId="0EE3DAB7" w14:textId="77777777" w:rsidR="00D33ED0" w:rsidRDefault="00565932" w:rsidP="00DD224B">
      <w:pPr>
        <w:rPr>
          <w:rFonts w:asciiTheme="minorHAnsi" w:hAnsiTheme="minorHAnsi" w:cstheme="minorHAnsi"/>
          <w:sz w:val="22"/>
          <w:szCs w:val="22"/>
          <w:lang w:eastAsia="x-none"/>
        </w:rPr>
      </w:pPr>
      <w:r w:rsidRPr="00771E96">
        <w:rPr>
          <w:rFonts w:asciiTheme="minorHAnsi" w:hAnsiTheme="minorHAnsi" w:cstheme="minorHAnsi"/>
          <w:sz w:val="22"/>
          <w:szCs w:val="22"/>
          <w:lang w:val="x-none" w:eastAsia="x-none"/>
        </w:rPr>
        <w:lastRenderedPageBreak/>
        <w:t>The following table summarises the various WHS state and territory legislation in Australia as at January 20</w:t>
      </w:r>
      <w:r w:rsidR="00660402">
        <w:rPr>
          <w:rFonts w:asciiTheme="minorHAnsi" w:hAnsiTheme="minorHAnsi" w:cstheme="minorHAnsi"/>
          <w:sz w:val="22"/>
          <w:szCs w:val="22"/>
          <w:lang w:eastAsia="x-none"/>
        </w:rPr>
        <w:t>2</w:t>
      </w:r>
      <w:r w:rsidR="00D33ED0">
        <w:rPr>
          <w:rFonts w:asciiTheme="minorHAnsi" w:hAnsiTheme="minorHAnsi" w:cstheme="minorHAnsi"/>
          <w:sz w:val="22"/>
          <w:szCs w:val="22"/>
          <w:lang w:eastAsia="x-none"/>
        </w:rPr>
        <w:t>1</w:t>
      </w:r>
      <w:r w:rsidRPr="00771E96">
        <w:rPr>
          <w:rFonts w:asciiTheme="minorHAnsi" w:hAnsiTheme="minorHAnsi" w:cstheme="minorHAnsi"/>
          <w:sz w:val="22"/>
          <w:szCs w:val="22"/>
          <w:lang w:val="x-none" w:eastAsia="x-none"/>
        </w:rPr>
        <w:t>.</w:t>
      </w:r>
      <w:bookmarkStart w:id="5" w:name="_klp6kujqsl9" w:colFirst="0" w:colLast="0"/>
      <w:bookmarkEnd w:id="5"/>
      <w:r w:rsidR="00D33ED0">
        <w:rPr>
          <w:rFonts w:asciiTheme="minorHAnsi" w:hAnsiTheme="minorHAnsi" w:cstheme="minorHAnsi"/>
          <w:sz w:val="22"/>
          <w:szCs w:val="22"/>
          <w:lang w:eastAsia="x-none"/>
        </w:rPr>
        <w:t xml:space="preserve"> </w:t>
      </w:r>
    </w:p>
    <w:p w14:paraId="564A570D" w14:textId="77777777" w:rsidR="00DD224B" w:rsidRDefault="00DD224B" w:rsidP="00DD224B">
      <w:pPr>
        <w:rPr>
          <w:rFonts w:asciiTheme="minorHAnsi" w:hAnsiTheme="minorHAnsi" w:cstheme="minorHAnsi"/>
        </w:rPr>
      </w:pPr>
    </w:p>
    <w:tbl>
      <w:tblPr>
        <w:tblW w:w="962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262"/>
        <w:gridCol w:w="2124"/>
        <w:gridCol w:w="2211"/>
        <w:gridCol w:w="4032"/>
      </w:tblGrid>
      <w:tr w:rsidR="00D95EEE" w:rsidRPr="00D33ED0" w14:paraId="1DD8DEA7" w14:textId="77777777" w:rsidTr="005B606D">
        <w:tc>
          <w:tcPr>
            <w:tcW w:w="1262" w:type="dxa"/>
            <w:shd w:val="clear" w:color="auto" w:fill="B8CCE4"/>
            <w:tcMar>
              <w:top w:w="0" w:type="dxa"/>
              <w:left w:w="115" w:type="dxa"/>
              <w:bottom w:w="0" w:type="dxa"/>
              <w:right w:w="115" w:type="dxa"/>
            </w:tcMar>
            <w:vAlign w:val="center"/>
          </w:tcPr>
          <w:p w14:paraId="149D94BA" w14:textId="77777777" w:rsidR="00D95EEE" w:rsidRPr="00D33ED0" w:rsidRDefault="00D95EEE" w:rsidP="005B606D">
            <w:pPr>
              <w:spacing w:after="160" w:line="259" w:lineRule="auto"/>
              <w:rPr>
                <w:rFonts w:ascii="Segoe UI" w:eastAsia="Segoe UI" w:hAnsi="Segoe UI"/>
                <w:color w:val="auto"/>
                <w:kern w:val="0"/>
                <w:sz w:val="22"/>
                <w:szCs w:val="22"/>
              </w:rPr>
            </w:pPr>
          </w:p>
        </w:tc>
        <w:tc>
          <w:tcPr>
            <w:tcW w:w="2124" w:type="dxa"/>
            <w:shd w:val="clear" w:color="auto" w:fill="B8CCE4"/>
            <w:tcMar>
              <w:top w:w="0" w:type="dxa"/>
              <w:left w:w="115" w:type="dxa"/>
              <w:bottom w:w="0" w:type="dxa"/>
              <w:right w:w="115" w:type="dxa"/>
            </w:tcMar>
            <w:vAlign w:val="center"/>
          </w:tcPr>
          <w:p w14:paraId="7C5F6EA5"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WHS Act</w:t>
            </w:r>
          </w:p>
        </w:tc>
        <w:tc>
          <w:tcPr>
            <w:tcW w:w="2211" w:type="dxa"/>
            <w:shd w:val="clear" w:color="auto" w:fill="B8CCE4"/>
            <w:tcMar>
              <w:top w:w="0" w:type="dxa"/>
              <w:left w:w="115" w:type="dxa"/>
              <w:bottom w:w="0" w:type="dxa"/>
              <w:right w:w="115" w:type="dxa"/>
            </w:tcMar>
            <w:vAlign w:val="center"/>
          </w:tcPr>
          <w:p w14:paraId="7424B04A"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WHS Regulations</w:t>
            </w:r>
          </w:p>
        </w:tc>
        <w:tc>
          <w:tcPr>
            <w:tcW w:w="4032" w:type="dxa"/>
            <w:shd w:val="clear" w:color="auto" w:fill="B8CCE4"/>
            <w:tcMar>
              <w:top w:w="0" w:type="dxa"/>
              <w:left w:w="115" w:type="dxa"/>
              <w:bottom w:w="0" w:type="dxa"/>
              <w:right w:w="115" w:type="dxa"/>
            </w:tcMar>
            <w:vAlign w:val="center"/>
          </w:tcPr>
          <w:p w14:paraId="3E8C0CEE"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WHS Authority &amp; Website</w:t>
            </w:r>
          </w:p>
        </w:tc>
      </w:tr>
      <w:tr w:rsidR="00D95EEE" w:rsidRPr="00D33ED0" w14:paraId="1C77FC5F" w14:textId="77777777" w:rsidTr="005B606D">
        <w:tc>
          <w:tcPr>
            <w:tcW w:w="1262" w:type="dxa"/>
            <w:shd w:val="clear" w:color="auto" w:fill="FFFFFF"/>
            <w:tcMar>
              <w:top w:w="0" w:type="dxa"/>
              <w:left w:w="115" w:type="dxa"/>
              <w:bottom w:w="0" w:type="dxa"/>
              <w:right w:w="115" w:type="dxa"/>
            </w:tcMar>
            <w:vAlign w:val="center"/>
          </w:tcPr>
          <w:p w14:paraId="23E27E7E"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ACT</w:t>
            </w:r>
          </w:p>
        </w:tc>
        <w:tc>
          <w:tcPr>
            <w:tcW w:w="2124" w:type="dxa"/>
            <w:tcMar>
              <w:top w:w="0" w:type="dxa"/>
              <w:left w:w="115" w:type="dxa"/>
              <w:bottom w:w="0" w:type="dxa"/>
              <w:right w:w="115" w:type="dxa"/>
            </w:tcMar>
            <w:vAlign w:val="center"/>
          </w:tcPr>
          <w:p w14:paraId="431B68BD"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Act 2011</w:t>
            </w:r>
          </w:p>
        </w:tc>
        <w:tc>
          <w:tcPr>
            <w:tcW w:w="2211" w:type="dxa"/>
            <w:tcMar>
              <w:top w:w="0" w:type="dxa"/>
              <w:left w:w="115" w:type="dxa"/>
              <w:bottom w:w="0" w:type="dxa"/>
              <w:right w:w="115" w:type="dxa"/>
            </w:tcMar>
            <w:vAlign w:val="center"/>
          </w:tcPr>
          <w:p w14:paraId="0D8DE0A6"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Regulation 2011</w:t>
            </w:r>
          </w:p>
        </w:tc>
        <w:tc>
          <w:tcPr>
            <w:tcW w:w="4032" w:type="dxa"/>
            <w:tcMar>
              <w:top w:w="0" w:type="dxa"/>
              <w:left w:w="115" w:type="dxa"/>
              <w:bottom w:w="0" w:type="dxa"/>
              <w:right w:w="115" w:type="dxa"/>
            </w:tcMar>
            <w:vAlign w:val="center"/>
          </w:tcPr>
          <w:p w14:paraId="16EFE672"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WorkSafe ACT</w:t>
            </w:r>
          </w:p>
          <w:p w14:paraId="0C68685A" w14:textId="77777777" w:rsidR="00D95EEE" w:rsidRPr="00D33ED0" w:rsidRDefault="00D95EEE" w:rsidP="005B606D">
            <w:pPr>
              <w:spacing w:after="160" w:line="259" w:lineRule="auto"/>
              <w:rPr>
                <w:rFonts w:ascii="Segoe UI" w:eastAsia="Segoe UI" w:hAnsi="Segoe UI"/>
                <w:color w:val="auto"/>
                <w:kern w:val="0"/>
                <w:sz w:val="22"/>
                <w:szCs w:val="22"/>
              </w:rPr>
            </w:pPr>
            <w:hyperlink r:id="rId15">
              <w:r w:rsidRPr="00D33ED0">
                <w:rPr>
                  <w:rFonts w:ascii="Segoe UI" w:eastAsia="Segoe UI" w:hAnsi="Segoe UI"/>
                  <w:kern w:val="0"/>
                  <w:sz w:val="22"/>
                  <w:szCs w:val="22"/>
                  <w:u w:val="single"/>
                </w:rPr>
                <w:t>www.worksafe.act.gov.au/health_safety</w:t>
              </w:r>
            </w:hyperlink>
          </w:p>
        </w:tc>
      </w:tr>
      <w:tr w:rsidR="00D95EEE" w:rsidRPr="00D33ED0" w14:paraId="5896ED10" w14:textId="77777777" w:rsidTr="005B606D">
        <w:tc>
          <w:tcPr>
            <w:tcW w:w="1262" w:type="dxa"/>
            <w:shd w:val="clear" w:color="auto" w:fill="FFFFFF"/>
            <w:tcMar>
              <w:top w:w="0" w:type="dxa"/>
              <w:left w:w="115" w:type="dxa"/>
              <w:bottom w:w="0" w:type="dxa"/>
              <w:right w:w="115" w:type="dxa"/>
            </w:tcMar>
            <w:vAlign w:val="center"/>
          </w:tcPr>
          <w:p w14:paraId="42197A6A"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NSW</w:t>
            </w:r>
          </w:p>
        </w:tc>
        <w:tc>
          <w:tcPr>
            <w:tcW w:w="2124" w:type="dxa"/>
            <w:tcMar>
              <w:top w:w="0" w:type="dxa"/>
              <w:left w:w="115" w:type="dxa"/>
              <w:bottom w:w="0" w:type="dxa"/>
              <w:right w:w="115" w:type="dxa"/>
            </w:tcMar>
            <w:vAlign w:val="center"/>
          </w:tcPr>
          <w:p w14:paraId="667A0D4C"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Act 2011</w:t>
            </w:r>
          </w:p>
        </w:tc>
        <w:tc>
          <w:tcPr>
            <w:tcW w:w="2211" w:type="dxa"/>
            <w:tcMar>
              <w:top w:w="0" w:type="dxa"/>
              <w:left w:w="115" w:type="dxa"/>
              <w:bottom w:w="0" w:type="dxa"/>
              <w:right w:w="115" w:type="dxa"/>
            </w:tcMar>
            <w:vAlign w:val="center"/>
          </w:tcPr>
          <w:p w14:paraId="735CFFD0"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Regulation 2017</w:t>
            </w:r>
          </w:p>
        </w:tc>
        <w:tc>
          <w:tcPr>
            <w:tcW w:w="4032" w:type="dxa"/>
            <w:tcMar>
              <w:top w:w="0" w:type="dxa"/>
              <w:left w:w="115" w:type="dxa"/>
              <w:bottom w:w="0" w:type="dxa"/>
              <w:right w:w="115" w:type="dxa"/>
            </w:tcMar>
            <w:vAlign w:val="center"/>
          </w:tcPr>
          <w:p w14:paraId="51CEBB48"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SafeWork NSW</w:t>
            </w:r>
          </w:p>
          <w:p w14:paraId="02F3A894" w14:textId="77777777" w:rsidR="00D95EEE" w:rsidRPr="00D33ED0" w:rsidRDefault="00D95EEE" w:rsidP="005B606D">
            <w:pPr>
              <w:spacing w:after="160" w:line="259" w:lineRule="auto"/>
              <w:rPr>
                <w:rFonts w:ascii="Segoe UI" w:eastAsia="Segoe UI" w:hAnsi="Segoe UI"/>
                <w:color w:val="auto"/>
                <w:kern w:val="0"/>
                <w:sz w:val="22"/>
                <w:szCs w:val="22"/>
                <w:u w:val="single"/>
              </w:rPr>
            </w:pPr>
            <w:r w:rsidRPr="00D33ED0">
              <w:rPr>
                <w:rFonts w:ascii="Segoe UI" w:eastAsia="Segoe UI" w:hAnsi="Segoe UI"/>
                <w:color w:val="auto"/>
                <w:kern w:val="0"/>
                <w:sz w:val="22"/>
                <w:szCs w:val="22"/>
                <w:u w:val="single"/>
              </w:rPr>
              <w:t>www.safework.nsw.gov.au</w:t>
            </w:r>
          </w:p>
        </w:tc>
      </w:tr>
      <w:tr w:rsidR="00D95EEE" w:rsidRPr="00D33ED0" w14:paraId="00BF35C3" w14:textId="77777777" w:rsidTr="005B606D">
        <w:tc>
          <w:tcPr>
            <w:tcW w:w="1262" w:type="dxa"/>
            <w:shd w:val="clear" w:color="auto" w:fill="FFFFFF"/>
            <w:tcMar>
              <w:top w:w="0" w:type="dxa"/>
              <w:left w:w="115" w:type="dxa"/>
              <w:bottom w:w="0" w:type="dxa"/>
              <w:right w:w="115" w:type="dxa"/>
            </w:tcMar>
            <w:vAlign w:val="center"/>
          </w:tcPr>
          <w:p w14:paraId="31115A9A"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NT</w:t>
            </w:r>
          </w:p>
        </w:tc>
        <w:tc>
          <w:tcPr>
            <w:tcW w:w="2124" w:type="dxa"/>
            <w:tcMar>
              <w:top w:w="0" w:type="dxa"/>
              <w:left w:w="115" w:type="dxa"/>
              <w:bottom w:w="0" w:type="dxa"/>
              <w:right w:w="115" w:type="dxa"/>
            </w:tcMar>
            <w:vAlign w:val="center"/>
          </w:tcPr>
          <w:p w14:paraId="01CDA3FC"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(National Uniform Legislation) Act 2011 </w:t>
            </w:r>
          </w:p>
        </w:tc>
        <w:tc>
          <w:tcPr>
            <w:tcW w:w="2211" w:type="dxa"/>
            <w:tcMar>
              <w:top w:w="0" w:type="dxa"/>
              <w:left w:w="115" w:type="dxa"/>
              <w:bottom w:w="0" w:type="dxa"/>
              <w:right w:w="115" w:type="dxa"/>
            </w:tcMar>
            <w:vAlign w:val="center"/>
          </w:tcPr>
          <w:p w14:paraId="4918AC73"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(National Uniform Legislation) Regulations (NT)</w:t>
            </w:r>
          </w:p>
        </w:tc>
        <w:tc>
          <w:tcPr>
            <w:tcW w:w="4032" w:type="dxa"/>
            <w:tcMar>
              <w:top w:w="0" w:type="dxa"/>
              <w:left w:w="115" w:type="dxa"/>
              <w:bottom w:w="0" w:type="dxa"/>
              <w:right w:w="115" w:type="dxa"/>
            </w:tcMar>
            <w:vAlign w:val="center"/>
          </w:tcPr>
          <w:p w14:paraId="529C9092"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NT WorkSafe</w:t>
            </w:r>
          </w:p>
          <w:p w14:paraId="5B6304E2" w14:textId="77777777" w:rsidR="00D95EEE" w:rsidRPr="00D33ED0" w:rsidRDefault="00D95EEE" w:rsidP="005B606D">
            <w:pPr>
              <w:spacing w:after="160" w:line="259" w:lineRule="auto"/>
              <w:rPr>
                <w:rFonts w:ascii="Segoe UI" w:eastAsia="Segoe UI" w:hAnsi="Segoe UI"/>
                <w:color w:val="auto"/>
                <w:kern w:val="0"/>
                <w:sz w:val="22"/>
                <w:szCs w:val="22"/>
              </w:rPr>
            </w:pPr>
            <w:hyperlink r:id="rId16">
              <w:r w:rsidRPr="00D33ED0">
                <w:rPr>
                  <w:rFonts w:ascii="Segoe UI" w:eastAsia="Segoe UI" w:hAnsi="Segoe UI"/>
                  <w:kern w:val="0"/>
                  <w:sz w:val="22"/>
                  <w:szCs w:val="22"/>
                  <w:u w:val="single"/>
                </w:rPr>
                <w:t>www.worksafe.nt.gov.au/</w:t>
              </w:r>
            </w:hyperlink>
          </w:p>
        </w:tc>
      </w:tr>
      <w:tr w:rsidR="00D95EEE" w:rsidRPr="00D33ED0" w14:paraId="58D45BA2" w14:textId="77777777" w:rsidTr="005B606D">
        <w:tc>
          <w:tcPr>
            <w:tcW w:w="1262" w:type="dxa"/>
            <w:shd w:val="clear" w:color="auto" w:fill="FFFFFF"/>
            <w:tcMar>
              <w:top w:w="0" w:type="dxa"/>
              <w:left w:w="115" w:type="dxa"/>
              <w:bottom w:w="0" w:type="dxa"/>
              <w:right w:w="115" w:type="dxa"/>
            </w:tcMar>
            <w:vAlign w:val="center"/>
          </w:tcPr>
          <w:p w14:paraId="427E1D48"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QLD</w:t>
            </w:r>
          </w:p>
        </w:tc>
        <w:tc>
          <w:tcPr>
            <w:tcW w:w="2124" w:type="dxa"/>
            <w:tcMar>
              <w:top w:w="0" w:type="dxa"/>
              <w:left w:w="115" w:type="dxa"/>
              <w:bottom w:w="0" w:type="dxa"/>
              <w:right w:w="115" w:type="dxa"/>
            </w:tcMar>
            <w:vAlign w:val="center"/>
          </w:tcPr>
          <w:p w14:paraId="7B3629C5"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Act 2011</w:t>
            </w:r>
          </w:p>
        </w:tc>
        <w:tc>
          <w:tcPr>
            <w:tcW w:w="2211" w:type="dxa"/>
            <w:tcMar>
              <w:top w:w="0" w:type="dxa"/>
              <w:left w:w="115" w:type="dxa"/>
              <w:bottom w:w="0" w:type="dxa"/>
              <w:right w:w="115" w:type="dxa"/>
            </w:tcMar>
            <w:vAlign w:val="center"/>
          </w:tcPr>
          <w:p w14:paraId="67ED7555"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Regulations 2011</w:t>
            </w:r>
          </w:p>
          <w:p w14:paraId="1BBB2701" w14:textId="77777777" w:rsidR="00D95EEE" w:rsidRPr="00D33ED0" w:rsidRDefault="00D95EEE" w:rsidP="005B606D">
            <w:pPr>
              <w:spacing w:after="160" w:line="259" w:lineRule="auto"/>
              <w:rPr>
                <w:rFonts w:ascii="Segoe UI" w:eastAsia="Segoe UI" w:hAnsi="Segoe UI"/>
                <w:color w:val="auto"/>
                <w:kern w:val="0"/>
                <w:sz w:val="22"/>
                <w:szCs w:val="22"/>
              </w:rPr>
            </w:pPr>
          </w:p>
        </w:tc>
        <w:tc>
          <w:tcPr>
            <w:tcW w:w="4032" w:type="dxa"/>
            <w:tcMar>
              <w:top w:w="0" w:type="dxa"/>
              <w:left w:w="115" w:type="dxa"/>
              <w:bottom w:w="0" w:type="dxa"/>
              <w:right w:w="115" w:type="dxa"/>
            </w:tcMar>
            <w:vAlign w:val="center"/>
          </w:tcPr>
          <w:p w14:paraId="75D42521"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Workplace Health and Safety Queensland</w:t>
            </w:r>
          </w:p>
          <w:p w14:paraId="66A16609" w14:textId="77777777" w:rsidR="00D95EEE" w:rsidRPr="00D33ED0" w:rsidRDefault="00D95EEE" w:rsidP="005B606D">
            <w:pPr>
              <w:spacing w:after="160" w:line="259" w:lineRule="auto"/>
              <w:rPr>
                <w:rFonts w:ascii="Segoe UI" w:eastAsia="Segoe UI" w:hAnsi="Segoe UI"/>
                <w:color w:val="auto"/>
                <w:kern w:val="0"/>
                <w:sz w:val="22"/>
                <w:szCs w:val="22"/>
                <w:u w:val="single"/>
              </w:rPr>
            </w:pPr>
            <w:r w:rsidRPr="00D33ED0">
              <w:rPr>
                <w:rFonts w:ascii="Segoe UI" w:eastAsia="Segoe UI" w:hAnsi="Segoe UI"/>
                <w:color w:val="auto"/>
                <w:kern w:val="0"/>
                <w:sz w:val="22"/>
                <w:szCs w:val="22"/>
                <w:u w:val="single"/>
              </w:rPr>
              <w:t xml:space="preserve">www.worksafe.qld.gov.au/ </w:t>
            </w:r>
          </w:p>
        </w:tc>
      </w:tr>
      <w:tr w:rsidR="00D95EEE" w:rsidRPr="00D33ED0" w14:paraId="23B4BA88" w14:textId="77777777" w:rsidTr="005B606D">
        <w:tc>
          <w:tcPr>
            <w:tcW w:w="1262" w:type="dxa"/>
            <w:shd w:val="clear" w:color="auto" w:fill="FFFFFF"/>
            <w:tcMar>
              <w:top w:w="0" w:type="dxa"/>
              <w:left w:w="115" w:type="dxa"/>
              <w:bottom w:w="0" w:type="dxa"/>
              <w:right w:w="115" w:type="dxa"/>
            </w:tcMar>
            <w:vAlign w:val="center"/>
          </w:tcPr>
          <w:p w14:paraId="65CC330F"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SA</w:t>
            </w:r>
          </w:p>
        </w:tc>
        <w:tc>
          <w:tcPr>
            <w:tcW w:w="2124" w:type="dxa"/>
            <w:tcMar>
              <w:top w:w="0" w:type="dxa"/>
              <w:left w:w="115" w:type="dxa"/>
              <w:bottom w:w="0" w:type="dxa"/>
              <w:right w:w="115" w:type="dxa"/>
            </w:tcMar>
            <w:vAlign w:val="center"/>
          </w:tcPr>
          <w:p w14:paraId="65CFC527"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Act 2012 </w:t>
            </w:r>
          </w:p>
        </w:tc>
        <w:tc>
          <w:tcPr>
            <w:tcW w:w="2211" w:type="dxa"/>
            <w:tcMar>
              <w:top w:w="0" w:type="dxa"/>
              <w:left w:w="115" w:type="dxa"/>
              <w:bottom w:w="0" w:type="dxa"/>
              <w:right w:w="115" w:type="dxa"/>
            </w:tcMar>
            <w:vAlign w:val="center"/>
          </w:tcPr>
          <w:p w14:paraId="6ECB48EC"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Regulations 2012</w:t>
            </w:r>
          </w:p>
        </w:tc>
        <w:tc>
          <w:tcPr>
            <w:tcW w:w="4032" w:type="dxa"/>
            <w:tcMar>
              <w:top w:w="0" w:type="dxa"/>
              <w:left w:w="115" w:type="dxa"/>
              <w:bottom w:w="0" w:type="dxa"/>
              <w:right w:w="115" w:type="dxa"/>
            </w:tcMar>
            <w:vAlign w:val="center"/>
          </w:tcPr>
          <w:p w14:paraId="07B98B2F"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SafeWork SA</w:t>
            </w:r>
          </w:p>
          <w:p w14:paraId="741D50E1"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u w:val="single"/>
              </w:rPr>
              <w:t>www.safework.sa.gov.au/</w:t>
            </w:r>
          </w:p>
        </w:tc>
      </w:tr>
      <w:tr w:rsidR="00D95EEE" w:rsidRPr="00D33ED0" w14:paraId="67A10335" w14:textId="77777777" w:rsidTr="005B606D">
        <w:tc>
          <w:tcPr>
            <w:tcW w:w="1262" w:type="dxa"/>
            <w:shd w:val="clear" w:color="auto" w:fill="FFFFFF"/>
            <w:tcMar>
              <w:top w:w="0" w:type="dxa"/>
              <w:left w:w="115" w:type="dxa"/>
              <w:bottom w:w="0" w:type="dxa"/>
              <w:right w:w="115" w:type="dxa"/>
            </w:tcMar>
            <w:vAlign w:val="center"/>
          </w:tcPr>
          <w:p w14:paraId="6764B15F"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TAS</w:t>
            </w:r>
          </w:p>
        </w:tc>
        <w:tc>
          <w:tcPr>
            <w:tcW w:w="2124" w:type="dxa"/>
            <w:tcMar>
              <w:top w:w="0" w:type="dxa"/>
              <w:left w:w="115" w:type="dxa"/>
              <w:bottom w:w="0" w:type="dxa"/>
              <w:right w:w="115" w:type="dxa"/>
            </w:tcMar>
            <w:vAlign w:val="center"/>
          </w:tcPr>
          <w:p w14:paraId="1CF56BAC"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 and Safety Act 2012  </w:t>
            </w:r>
          </w:p>
        </w:tc>
        <w:tc>
          <w:tcPr>
            <w:tcW w:w="2211" w:type="dxa"/>
            <w:tcMar>
              <w:top w:w="0" w:type="dxa"/>
              <w:left w:w="115" w:type="dxa"/>
              <w:bottom w:w="0" w:type="dxa"/>
              <w:right w:w="115" w:type="dxa"/>
            </w:tcMar>
            <w:vAlign w:val="center"/>
          </w:tcPr>
          <w:p w14:paraId="0E305704"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Workplace Health and Safety Regulations 2012</w:t>
            </w:r>
          </w:p>
        </w:tc>
        <w:tc>
          <w:tcPr>
            <w:tcW w:w="4032" w:type="dxa"/>
            <w:tcMar>
              <w:top w:w="0" w:type="dxa"/>
              <w:left w:w="115" w:type="dxa"/>
              <w:bottom w:w="0" w:type="dxa"/>
              <w:right w:w="115" w:type="dxa"/>
            </w:tcMar>
            <w:vAlign w:val="center"/>
          </w:tcPr>
          <w:p w14:paraId="6F86EA66"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WorkSafe Tasmania</w:t>
            </w:r>
          </w:p>
          <w:p w14:paraId="25DB42DE" w14:textId="77777777" w:rsidR="00D95EEE" w:rsidRPr="00D33ED0" w:rsidRDefault="00D95EEE" w:rsidP="005B606D">
            <w:pPr>
              <w:spacing w:after="160" w:line="259" w:lineRule="auto"/>
              <w:rPr>
                <w:rFonts w:ascii="Segoe UI" w:eastAsia="Segoe UI" w:hAnsi="Segoe UI"/>
                <w:color w:val="auto"/>
                <w:kern w:val="0"/>
                <w:sz w:val="22"/>
                <w:szCs w:val="22"/>
                <w:u w:val="single"/>
              </w:rPr>
            </w:pPr>
            <w:r w:rsidRPr="00D33ED0">
              <w:rPr>
                <w:rFonts w:ascii="Segoe UI" w:eastAsia="Segoe UI" w:hAnsi="Segoe UI"/>
                <w:color w:val="auto"/>
                <w:kern w:val="0"/>
                <w:sz w:val="22"/>
                <w:szCs w:val="22"/>
                <w:u w:val="single"/>
              </w:rPr>
              <w:t>www.worksafe.tas.gov.au/</w:t>
            </w:r>
          </w:p>
        </w:tc>
      </w:tr>
      <w:tr w:rsidR="00D95EEE" w:rsidRPr="00D33ED0" w14:paraId="7BD248E1" w14:textId="77777777" w:rsidTr="005B606D">
        <w:tc>
          <w:tcPr>
            <w:tcW w:w="1262" w:type="dxa"/>
            <w:shd w:val="clear" w:color="auto" w:fill="FFFFFF"/>
            <w:tcMar>
              <w:top w:w="0" w:type="dxa"/>
              <w:left w:w="115" w:type="dxa"/>
              <w:bottom w:w="0" w:type="dxa"/>
              <w:right w:w="115" w:type="dxa"/>
            </w:tcMar>
            <w:vAlign w:val="center"/>
          </w:tcPr>
          <w:p w14:paraId="2704E9D0"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b/>
                <w:color w:val="auto"/>
                <w:kern w:val="0"/>
                <w:sz w:val="22"/>
                <w:szCs w:val="22"/>
              </w:rPr>
              <w:t>VIC</w:t>
            </w:r>
          </w:p>
        </w:tc>
        <w:tc>
          <w:tcPr>
            <w:tcW w:w="2124" w:type="dxa"/>
            <w:tcMar>
              <w:top w:w="0" w:type="dxa"/>
              <w:left w:w="115" w:type="dxa"/>
              <w:bottom w:w="0" w:type="dxa"/>
              <w:right w:w="115" w:type="dxa"/>
            </w:tcMar>
            <w:vAlign w:val="center"/>
          </w:tcPr>
          <w:p w14:paraId="028A9713"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Occupational Health and Safety Act 2004</w:t>
            </w:r>
          </w:p>
        </w:tc>
        <w:tc>
          <w:tcPr>
            <w:tcW w:w="2211" w:type="dxa"/>
            <w:tcMar>
              <w:top w:w="0" w:type="dxa"/>
              <w:left w:w="115" w:type="dxa"/>
              <w:bottom w:w="0" w:type="dxa"/>
              <w:right w:w="115" w:type="dxa"/>
            </w:tcMar>
            <w:vAlign w:val="center"/>
          </w:tcPr>
          <w:p w14:paraId="19D26475"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Occupational Health and Safety Regulations 2017 (Vic)</w:t>
            </w:r>
          </w:p>
        </w:tc>
        <w:tc>
          <w:tcPr>
            <w:tcW w:w="4032" w:type="dxa"/>
            <w:tcMar>
              <w:top w:w="0" w:type="dxa"/>
              <w:left w:w="115" w:type="dxa"/>
              <w:bottom w:w="0" w:type="dxa"/>
              <w:right w:w="115" w:type="dxa"/>
            </w:tcMar>
            <w:vAlign w:val="center"/>
          </w:tcPr>
          <w:p w14:paraId="3764AAF5"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WorkSafe Victoria</w:t>
            </w:r>
          </w:p>
          <w:p w14:paraId="2BFF4A4D"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u w:val="single"/>
              </w:rPr>
              <w:t>www.worksafe.vic.gov.au</w:t>
            </w:r>
            <w:r w:rsidRPr="00D33ED0">
              <w:rPr>
                <w:rFonts w:ascii="Segoe UI" w:eastAsia="Segoe UI" w:hAnsi="Segoe UI"/>
                <w:color w:val="auto"/>
                <w:kern w:val="0"/>
                <w:sz w:val="22"/>
                <w:szCs w:val="22"/>
              </w:rPr>
              <w:t>/</w:t>
            </w:r>
          </w:p>
        </w:tc>
      </w:tr>
      <w:tr w:rsidR="00D95EEE" w:rsidRPr="00D33ED0" w14:paraId="5E187742" w14:textId="77777777" w:rsidTr="005B606D">
        <w:tc>
          <w:tcPr>
            <w:tcW w:w="1262" w:type="dxa"/>
            <w:shd w:val="clear" w:color="auto" w:fill="FFFFFF"/>
            <w:tcMar>
              <w:top w:w="0" w:type="dxa"/>
              <w:left w:w="115" w:type="dxa"/>
              <w:bottom w:w="0" w:type="dxa"/>
              <w:right w:w="115" w:type="dxa"/>
            </w:tcMar>
            <w:vAlign w:val="center"/>
          </w:tcPr>
          <w:p w14:paraId="4D42E8EE" w14:textId="77777777" w:rsidR="00D95EEE" w:rsidRPr="00D33ED0" w:rsidRDefault="00D95EEE" w:rsidP="005B606D">
            <w:pPr>
              <w:spacing w:after="160" w:line="259" w:lineRule="auto"/>
              <w:rPr>
                <w:rFonts w:ascii="Segoe UI" w:eastAsia="Segoe UI" w:hAnsi="Segoe UI"/>
                <w:color w:val="auto"/>
                <w:kern w:val="0"/>
                <w:sz w:val="22"/>
                <w:szCs w:val="22"/>
              </w:rPr>
            </w:pPr>
            <w:r>
              <w:rPr>
                <w:rFonts w:ascii="Segoe UI" w:eastAsia="Segoe UI" w:hAnsi="Segoe UI"/>
                <w:b/>
                <w:color w:val="auto"/>
                <w:kern w:val="0"/>
                <w:sz w:val="22"/>
                <w:szCs w:val="22"/>
              </w:rPr>
              <w:t xml:space="preserve"> </w:t>
            </w:r>
            <w:r w:rsidRPr="00D33ED0">
              <w:rPr>
                <w:rFonts w:ascii="Segoe UI" w:eastAsia="Segoe UI" w:hAnsi="Segoe UI"/>
                <w:b/>
                <w:color w:val="auto"/>
                <w:kern w:val="0"/>
                <w:sz w:val="22"/>
                <w:szCs w:val="22"/>
              </w:rPr>
              <w:t>WA</w:t>
            </w:r>
          </w:p>
        </w:tc>
        <w:tc>
          <w:tcPr>
            <w:tcW w:w="2124" w:type="dxa"/>
            <w:tcMar>
              <w:top w:w="0" w:type="dxa"/>
              <w:left w:w="115" w:type="dxa"/>
              <w:bottom w:w="0" w:type="dxa"/>
              <w:right w:w="115" w:type="dxa"/>
            </w:tcMar>
            <w:vAlign w:val="center"/>
          </w:tcPr>
          <w:p w14:paraId="1AEEE2C8" w14:textId="77777777" w:rsidR="00D95EEE" w:rsidRPr="00D33ED0" w:rsidRDefault="00D95EEE" w:rsidP="005B606D">
            <w:pPr>
              <w:spacing w:after="160" w:line="259" w:lineRule="auto"/>
              <w:rPr>
                <w:rFonts w:ascii="Segoe UI" w:eastAsia="Segoe UI" w:hAnsi="Segoe UI"/>
                <w:color w:val="auto"/>
                <w:kern w:val="0"/>
                <w:sz w:val="22"/>
                <w:szCs w:val="22"/>
              </w:rPr>
            </w:pPr>
            <w:r>
              <w:rPr>
                <w:rFonts w:ascii="Segoe UI" w:eastAsia="Segoe UI" w:hAnsi="Segoe UI"/>
                <w:color w:val="auto"/>
                <w:kern w:val="0"/>
                <w:sz w:val="22"/>
                <w:szCs w:val="22"/>
              </w:rPr>
              <w:t>Work Health and Safety Act 2020</w:t>
            </w:r>
          </w:p>
        </w:tc>
        <w:tc>
          <w:tcPr>
            <w:tcW w:w="2211" w:type="dxa"/>
            <w:tcMar>
              <w:top w:w="0" w:type="dxa"/>
              <w:left w:w="115" w:type="dxa"/>
              <w:bottom w:w="0" w:type="dxa"/>
              <w:right w:w="115" w:type="dxa"/>
            </w:tcMar>
            <w:vAlign w:val="center"/>
          </w:tcPr>
          <w:p w14:paraId="597ED0D8" w14:textId="77777777" w:rsidR="00D95EEE" w:rsidRPr="00D33ED0" w:rsidRDefault="00D95EEE" w:rsidP="005B606D">
            <w:pPr>
              <w:spacing w:after="160" w:line="259" w:lineRule="auto"/>
              <w:rPr>
                <w:rFonts w:ascii="Segoe UI" w:eastAsia="Segoe UI" w:hAnsi="Segoe UI"/>
                <w:color w:val="auto"/>
                <w:kern w:val="0"/>
                <w:sz w:val="22"/>
                <w:szCs w:val="22"/>
              </w:rPr>
            </w:pPr>
            <w:r>
              <w:rPr>
                <w:rFonts w:ascii="Segoe UI" w:eastAsia="Segoe UI" w:hAnsi="Segoe UI"/>
                <w:color w:val="auto"/>
                <w:kern w:val="0"/>
                <w:sz w:val="22"/>
                <w:szCs w:val="22"/>
              </w:rPr>
              <w:t>Work Health and Safety (General) Regulations 2022</w:t>
            </w:r>
          </w:p>
        </w:tc>
        <w:tc>
          <w:tcPr>
            <w:tcW w:w="4032" w:type="dxa"/>
            <w:tcMar>
              <w:top w:w="0" w:type="dxa"/>
              <w:left w:w="115" w:type="dxa"/>
              <w:bottom w:w="0" w:type="dxa"/>
              <w:right w:w="115" w:type="dxa"/>
            </w:tcMar>
            <w:vAlign w:val="center"/>
          </w:tcPr>
          <w:p w14:paraId="711EE587"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WorkSafe WA</w:t>
            </w:r>
          </w:p>
          <w:p w14:paraId="49585DEF"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u w:val="single"/>
              </w:rPr>
              <w:t>www.commerce.wa.gov.au/WorkSafe/</w:t>
            </w:r>
          </w:p>
        </w:tc>
      </w:tr>
      <w:tr w:rsidR="00D95EEE" w:rsidRPr="00D33ED0" w14:paraId="46346407" w14:textId="77777777" w:rsidTr="005B606D">
        <w:tc>
          <w:tcPr>
            <w:tcW w:w="1262" w:type="dxa"/>
            <w:shd w:val="clear" w:color="auto" w:fill="FFFFFF"/>
            <w:tcMar>
              <w:top w:w="0" w:type="dxa"/>
              <w:left w:w="115" w:type="dxa"/>
              <w:bottom w:w="0" w:type="dxa"/>
              <w:right w:w="115" w:type="dxa"/>
            </w:tcMar>
            <w:vAlign w:val="center"/>
          </w:tcPr>
          <w:p w14:paraId="6BA40C38" w14:textId="77777777" w:rsidR="00D95EEE" w:rsidRPr="00D33ED0" w:rsidRDefault="00D95EEE" w:rsidP="005B606D">
            <w:pPr>
              <w:spacing w:after="160" w:line="259" w:lineRule="auto"/>
              <w:rPr>
                <w:rFonts w:ascii="Segoe UI" w:eastAsia="Segoe UI" w:hAnsi="Segoe UI"/>
                <w:b/>
                <w:color w:val="auto"/>
                <w:kern w:val="0"/>
                <w:sz w:val="22"/>
                <w:szCs w:val="22"/>
              </w:rPr>
            </w:pPr>
            <w:r w:rsidRPr="00D33ED0">
              <w:rPr>
                <w:rFonts w:ascii="Segoe UI" w:eastAsia="Segoe UI" w:hAnsi="Segoe UI"/>
                <w:b/>
                <w:color w:val="auto"/>
                <w:kern w:val="0"/>
                <w:sz w:val="22"/>
                <w:szCs w:val="22"/>
              </w:rPr>
              <w:t>Common-</w:t>
            </w:r>
          </w:p>
          <w:p w14:paraId="0F75BA1B" w14:textId="77777777" w:rsidR="00D95EEE" w:rsidRPr="00D33ED0" w:rsidRDefault="00D95EEE" w:rsidP="005B606D">
            <w:pPr>
              <w:spacing w:after="160" w:line="259" w:lineRule="auto"/>
              <w:rPr>
                <w:rFonts w:ascii="Segoe UI" w:eastAsia="Segoe UI" w:hAnsi="Segoe UI"/>
                <w:b/>
                <w:color w:val="auto"/>
                <w:kern w:val="0"/>
                <w:sz w:val="22"/>
                <w:szCs w:val="22"/>
              </w:rPr>
            </w:pPr>
            <w:r w:rsidRPr="00D33ED0">
              <w:rPr>
                <w:rFonts w:ascii="Segoe UI" w:eastAsia="Segoe UI" w:hAnsi="Segoe UI"/>
                <w:b/>
                <w:color w:val="auto"/>
                <w:kern w:val="0"/>
                <w:sz w:val="22"/>
                <w:szCs w:val="22"/>
              </w:rPr>
              <w:t>wealth</w:t>
            </w:r>
          </w:p>
        </w:tc>
        <w:tc>
          <w:tcPr>
            <w:tcW w:w="2124" w:type="dxa"/>
            <w:tcMar>
              <w:top w:w="0" w:type="dxa"/>
              <w:left w:w="115" w:type="dxa"/>
              <w:bottom w:w="0" w:type="dxa"/>
              <w:right w:w="115" w:type="dxa"/>
            </w:tcMar>
            <w:vAlign w:val="center"/>
          </w:tcPr>
          <w:p w14:paraId="327157BB"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w:t>
            </w:r>
            <w:r>
              <w:rPr>
                <w:rFonts w:ascii="Segoe UI" w:eastAsia="Segoe UI" w:hAnsi="Segoe UI"/>
                <w:color w:val="auto"/>
                <w:kern w:val="0"/>
                <w:sz w:val="22"/>
                <w:szCs w:val="22"/>
              </w:rPr>
              <w:t>rk Health and Safety Act 2011(C</w:t>
            </w:r>
            <w:r w:rsidRPr="00D33ED0">
              <w:rPr>
                <w:rFonts w:ascii="Segoe UI" w:eastAsia="Segoe UI" w:hAnsi="Segoe UI"/>
                <w:color w:val="auto"/>
                <w:kern w:val="0"/>
                <w:sz w:val="22"/>
                <w:szCs w:val="22"/>
              </w:rPr>
              <w:t>th)</w:t>
            </w:r>
          </w:p>
        </w:tc>
        <w:tc>
          <w:tcPr>
            <w:tcW w:w="2211" w:type="dxa"/>
            <w:tcMar>
              <w:top w:w="0" w:type="dxa"/>
              <w:left w:w="115" w:type="dxa"/>
              <w:bottom w:w="0" w:type="dxa"/>
              <w:right w:w="115" w:type="dxa"/>
            </w:tcMar>
            <w:vAlign w:val="center"/>
          </w:tcPr>
          <w:p w14:paraId="413F6412"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Work Health</w:t>
            </w:r>
            <w:r>
              <w:rPr>
                <w:rFonts w:ascii="Segoe UI" w:eastAsia="Segoe UI" w:hAnsi="Segoe UI"/>
                <w:color w:val="auto"/>
                <w:kern w:val="0"/>
                <w:sz w:val="22"/>
                <w:szCs w:val="22"/>
              </w:rPr>
              <w:t xml:space="preserve"> and Safety Regulations 2011 (C</w:t>
            </w:r>
            <w:r w:rsidRPr="00D33ED0">
              <w:rPr>
                <w:rFonts w:ascii="Segoe UI" w:eastAsia="Segoe UI" w:hAnsi="Segoe UI"/>
                <w:color w:val="auto"/>
                <w:kern w:val="0"/>
                <w:sz w:val="22"/>
                <w:szCs w:val="22"/>
              </w:rPr>
              <w:t>th)</w:t>
            </w:r>
          </w:p>
        </w:tc>
        <w:tc>
          <w:tcPr>
            <w:tcW w:w="4032" w:type="dxa"/>
            <w:tcMar>
              <w:top w:w="0" w:type="dxa"/>
              <w:left w:w="115" w:type="dxa"/>
              <w:bottom w:w="0" w:type="dxa"/>
              <w:right w:w="115" w:type="dxa"/>
            </w:tcMar>
            <w:vAlign w:val="center"/>
          </w:tcPr>
          <w:p w14:paraId="37EED6CA" w14:textId="77777777" w:rsidR="00D95EEE" w:rsidRPr="00D33ED0" w:rsidRDefault="00D95EEE" w:rsidP="005B606D">
            <w:pPr>
              <w:spacing w:after="160" w:line="259" w:lineRule="auto"/>
              <w:rPr>
                <w:rFonts w:ascii="Segoe UI" w:eastAsia="Segoe UI" w:hAnsi="Segoe UI"/>
                <w:color w:val="auto"/>
                <w:kern w:val="0"/>
                <w:sz w:val="22"/>
                <w:szCs w:val="22"/>
              </w:rPr>
            </w:pPr>
            <w:r w:rsidRPr="00D33ED0">
              <w:rPr>
                <w:rFonts w:ascii="Segoe UI" w:eastAsia="Segoe UI" w:hAnsi="Segoe UI"/>
                <w:color w:val="auto"/>
                <w:kern w:val="0"/>
                <w:sz w:val="22"/>
                <w:szCs w:val="22"/>
              </w:rPr>
              <w:t>Comcare</w:t>
            </w:r>
          </w:p>
          <w:p w14:paraId="60B2CB76" w14:textId="77777777" w:rsidR="00D95EEE" w:rsidRPr="00D33ED0" w:rsidRDefault="00D95EEE" w:rsidP="005B606D">
            <w:pPr>
              <w:spacing w:after="160" w:line="259" w:lineRule="auto"/>
              <w:rPr>
                <w:rFonts w:ascii="Segoe UI" w:eastAsia="Segoe UI" w:hAnsi="Segoe UI"/>
                <w:color w:val="auto"/>
                <w:kern w:val="0"/>
                <w:sz w:val="22"/>
                <w:szCs w:val="22"/>
                <w:u w:val="single"/>
              </w:rPr>
            </w:pPr>
            <w:r w:rsidRPr="00D33ED0">
              <w:rPr>
                <w:rFonts w:ascii="Segoe UI" w:eastAsia="Segoe UI" w:hAnsi="Segoe UI"/>
                <w:color w:val="auto"/>
                <w:kern w:val="0"/>
                <w:sz w:val="22"/>
                <w:szCs w:val="22"/>
                <w:u w:val="single"/>
              </w:rPr>
              <w:t>www.comcare.gov.au</w:t>
            </w:r>
          </w:p>
        </w:tc>
      </w:tr>
    </w:tbl>
    <w:p w14:paraId="7573E737" w14:textId="77777777" w:rsidR="00D33ED0" w:rsidRDefault="00D33ED0">
      <w:pPr>
        <w:spacing w:after="160" w:line="259" w:lineRule="auto"/>
        <w:rPr>
          <w:rFonts w:asciiTheme="minorHAnsi" w:hAnsiTheme="minorHAnsi" w:cstheme="minorHAnsi"/>
          <w:lang w:val="x-none" w:eastAsia="x-none"/>
        </w:rPr>
      </w:pPr>
      <w:r>
        <w:rPr>
          <w:rFonts w:asciiTheme="minorHAnsi" w:hAnsiTheme="minorHAnsi" w:cstheme="minorHAnsi"/>
        </w:rPr>
        <w:br w:type="page"/>
      </w:r>
    </w:p>
    <w:p w14:paraId="7A7A17F2" w14:textId="77777777" w:rsidR="00565932" w:rsidRPr="00771E96" w:rsidRDefault="00565932" w:rsidP="009F1292">
      <w:pPr>
        <w:pStyle w:val="Heading4"/>
        <w:rPr>
          <w:rFonts w:asciiTheme="minorHAnsi" w:hAnsiTheme="minorHAnsi" w:cstheme="minorHAnsi"/>
        </w:rPr>
      </w:pPr>
      <w:bookmarkStart w:id="6" w:name="_gjdgxs" w:colFirst="0" w:colLast="0"/>
      <w:bookmarkStart w:id="7" w:name="_Toc64283000"/>
      <w:bookmarkEnd w:id="6"/>
      <w:r w:rsidRPr="00771E96">
        <w:rPr>
          <w:rFonts w:asciiTheme="minorHAnsi" w:hAnsiTheme="minorHAnsi" w:cstheme="minorHAnsi"/>
        </w:rPr>
        <w:lastRenderedPageBreak/>
        <w:t>Employer Responsibilities</w:t>
      </w:r>
      <w:bookmarkEnd w:id="7"/>
    </w:p>
    <w:p w14:paraId="38F59F91" w14:textId="77777777" w:rsidR="00565932" w:rsidRPr="00771E96" w:rsidRDefault="00565932" w:rsidP="00565932">
      <w:pPr>
        <w:jc w:val="both"/>
        <w:rPr>
          <w:rFonts w:asciiTheme="minorHAnsi" w:hAnsiTheme="minorHAnsi" w:cstheme="minorHAnsi"/>
          <w:b/>
          <w:sz w:val="22"/>
          <w:szCs w:val="22"/>
        </w:rPr>
      </w:pPr>
    </w:p>
    <w:p w14:paraId="41F752DF"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Employers are required to provide a healthy and safe working environment for themselves, workers, customers and visitors. This includes:</w:t>
      </w:r>
    </w:p>
    <w:p w14:paraId="4832FCA5" w14:textId="77777777" w:rsidR="00565932" w:rsidRPr="00771E96" w:rsidRDefault="00565932" w:rsidP="00565932">
      <w:pPr>
        <w:rPr>
          <w:rFonts w:asciiTheme="minorHAnsi" w:hAnsiTheme="minorHAnsi" w:cstheme="minorHAnsi"/>
          <w:sz w:val="22"/>
          <w:szCs w:val="22"/>
        </w:rPr>
      </w:pPr>
    </w:p>
    <w:p w14:paraId="6713124B" w14:textId="77777777" w:rsidR="00565932" w:rsidRPr="00771E96" w:rsidRDefault="00565932" w:rsidP="00565932">
      <w:pPr>
        <w:pStyle w:val="ListParagraph"/>
        <w:numPr>
          <w:ilvl w:val="0"/>
          <w:numId w:val="2"/>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 xml:space="preserve">Eliminating or minimising hazards and risks in the workplace </w:t>
      </w:r>
    </w:p>
    <w:p w14:paraId="61B1A49B" w14:textId="77777777" w:rsidR="00565932" w:rsidRPr="00771E96" w:rsidRDefault="00565932" w:rsidP="00565932">
      <w:pPr>
        <w:pStyle w:val="ListParagraph"/>
        <w:numPr>
          <w:ilvl w:val="0"/>
          <w:numId w:val="2"/>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Providing WHS information, instructions and training to employees</w:t>
      </w:r>
    </w:p>
    <w:p w14:paraId="7704B495" w14:textId="77777777" w:rsidR="00565932" w:rsidRPr="00771E96" w:rsidRDefault="00565932" w:rsidP="00565932">
      <w:pPr>
        <w:pStyle w:val="ListParagraph"/>
        <w:numPr>
          <w:ilvl w:val="0"/>
          <w:numId w:val="2"/>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Providing employees with protective clothing and safety equipment appropriate for the workplace, and</w:t>
      </w:r>
    </w:p>
    <w:p w14:paraId="0A90B603" w14:textId="77777777" w:rsidR="00565932" w:rsidRPr="00771E96" w:rsidRDefault="00565932" w:rsidP="00565932">
      <w:pPr>
        <w:pStyle w:val="ListParagraph"/>
        <w:numPr>
          <w:ilvl w:val="0"/>
          <w:numId w:val="2"/>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Implementing systems, policies and procedures for the reporting of accidents, incidents and hazards</w:t>
      </w:r>
    </w:p>
    <w:p w14:paraId="6CA34A8F" w14:textId="77777777" w:rsidR="00565932" w:rsidRPr="00771E96" w:rsidRDefault="00565932" w:rsidP="00565932">
      <w:pPr>
        <w:ind w:left="360"/>
        <w:rPr>
          <w:rFonts w:asciiTheme="minorHAnsi" w:hAnsiTheme="minorHAnsi" w:cstheme="minorHAnsi"/>
        </w:rPr>
      </w:pPr>
    </w:p>
    <w:p w14:paraId="4F703600" w14:textId="77777777" w:rsidR="00565932" w:rsidRPr="00771E96" w:rsidRDefault="00565932" w:rsidP="009F1292">
      <w:pPr>
        <w:pStyle w:val="Heading4"/>
        <w:rPr>
          <w:rFonts w:asciiTheme="minorHAnsi" w:hAnsiTheme="minorHAnsi" w:cstheme="minorHAnsi"/>
        </w:rPr>
      </w:pPr>
      <w:bookmarkStart w:id="8" w:name="_1fob9te" w:colFirst="0" w:colLast="0"/>
      <w:bookmarkStart w:id="9" w:name="_Toc64283001"/>
      <w:bookmarkEnd w:id="8"/>
      <w:r w:rsidRPr="00771E96">
        <w:rPr>
          <w:rFonts w:asciiTheme="minorHAnsi" w:hAnsiTheme="minorHAnsi" w:cstheme="minorHAnsi"/>
        </w:rPr>
        <w:t>Employee Responsibilities</w:t>
      </w:r>
      <w:bookmarkEnd w:id="9"/>
    </w:p>
    <w:p w14:paraId="1ED48720" w14:textId="77777777" w:rsidR="00565932" w:rsidRPr="00771E96" w:rsidRDefault="00565932" w:rsidP="00565932">
      <w:pPr>
        <w:jc w:val="both"/>
        <w:rPr>
          <w:rFonts w:asciiTheme="minorHAnsi" w:hAnsiTheme="minorHAnsi" w:cstheme="minorHAnsi"/>
          <w:b/>
          <w:sz w:val="22"/>
          <w:szCs w:val="22"/>
        </w:rPr>
      </w:pPr>
    </w:p>
    <w:p w14:paraId="5A50AA65"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Employees are required to:</w:t>
      </w:r>
    </w:p>
    <w:p w14:paraId="63A5C160" w14:textId="77777777" w:rsidR="00565932" w:rsidRPr="00771E96" w:rsidRDefault="00565932" w:rsidP="00565932">
      <w:pPr>
        <w:rPr>
          <w:rFonts w:asciiTheme="minorHAnsi" w:hAnsiTheme="minorHAnsi" w:cstheme="minorHAnsi"/>
          <w:sz w:val="22"/>
          <w:szCs w:val="22"/>
        </w:rPr>
      </w:pPr>
    </w:p>
    <w:p w14:paraId="68F87429" w14:textId="77777777" w:rsidR="00565932" w:rsidRPr="00771E96" w:rsidRDefault="00565932" w:rsidP="00565932">
      <w:pPr>
        <w:pStyle w:val="ListParagraph"/>
        <w:numPr>
          <w:ilvl w:val="0"/>
          <w:numId w:val="4"/>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Take reasonable care for their own safety</w:t>
      </w:r>
    </w:p>
    <w:p w14:paraId="1E8D4581" w14:textId="77777777" w:rsidR="00565932" w:rsidRPr="00771E96" w:rsidRDefault="00565932" w:rsidP="00565932">
      <w:pPr>
        <w:pStyle w:val="ListParagraph"/>
        <w:numPr>
          <w:ilvl w:val="0"/>
          <w:numId w:val="3"/>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Consider the safety of other people that may be affected by their actions</w:t>
      </w:r>
    </w:p>
    <w:p w14:paraId="2CB01BF7" w14:textId="77777777" w:rsidR="00565932" w:rsidRPr="00771E96" w:rsidRDefault="00565932" w:rsidP="00565932">
      <w:pPr>
        <w:pStyle w:val="ListParagraph"/>
        <w:numPr>
          <w:ilvl w:val="0"/>
          <w:numId w:val="3"/>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Use WHS and maintain equipment appropriately</w:t>
      </w:r>
    </w:p>
    <w:p w14:paraId="7B2D8BBF" w14:textId="77777777" w:rsidR="00565932" w:rsidRPr="00771E96" w:rsidRDefault="00565932" w:rsidP="00565932">
      <w:pPr>
        <w:pStyle w:val="ListParagraph"/>
        <w:numPr>
          <w:ilvl w:val="0"/>
          <w:numId w:val="3"/>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Follow reasonable health and safety related instructions given to them by their employer</w:t>
      </w:r>
    </w:p>
    <w:p w14:paraId="1D57275C" w14:textId="77777777" w:rsidR="00565932" w:rsidRPr="00771E96" w:rsidRDefault="00565932" w:rsidP="00565932">
      <w:pPr>
        <w:pStyle w:val="ListParagraph"/>
        <w:numPr>
          <w:ilvl w:val="0"/>
          <w:numId w:val="3"/>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Follow WHS policies and procedures for reporting and minimising hazards and risks in the workplace</w:t>
      </w:r>
    </w:p>
    <w:p w14:paraId="338DA966" w14:textId="77777777" w:rsidR="00565932" w:rsidRPr="00771E96" w:rsidRDefault="00565932" w:rsidP="00565932">
      <w:pPr>
        <w:pStyle w:val="ListParagraph"/>
        <w:rPr>
          <w:rFonts w:asciiTheme="minorHAnsi" w:hAnsiTheme="minorHAnsi" w:cstheme="minorHAnsi"/>
        </w:rPr>
      </w:pPr>
    </w:p>
    <w:p w14:paraId="5CA871A3" w14:textId="77777777" w:rsidR="00565932" w:rsidRPr="00771E96" w:rsidRDefault="00565932" w:rsidP="009F1292">
      <w:pPr>
        <w:pStyle w:val="Heading4"/>
        <w:rPr>
          <w:rFonts w:asciiTheme="minorHAnsi" w:hAnsiTheme="minorHAnsi" w:cstheme="minorHAnsi"/>
        </w:rPr>
      </w:pPr>
      <w:bookmarkStart w:id="10" w:name="_3znysh7" w:colFirst="0" w:colLast="0"/>
      <w:bookmarkStart w:id="11" w:name="_Toc64283002"/>
      <w:bookmarkEnd w:id="10"/>
      <w:r w:rsidRPr="00771E96">
        <w:rPr>
          <w:rFonts w:asciiTheme="minorHAnsi" w:hAnsiTheme="minorHAnsi" w:cstheme="minorHAnsi"/>
        </w:rPr>
        <w:t>Workplace Hazards</w:t>
      </w:r>
      <w:bookmarkEnd w:id="11"/>
    </w:p>
    <w:p w14:paraId="451C7446" w14:textId="77777777" w:rsidR="00565932" w:rsidRPr="00771E96" w:rsidRDefault="00565932" w:rsidP="00565932">
      <w:pPr>
        <w:jc w:val="both"/>
        <w:rPr>
          <w:rFonts w:asciiTheme="minorHAnsi" w:hAnsiTheme="minorHAnsi" w:cstheme="minorHAnsi"/>
          <w:b/>
          <w:sz w:val="22"/>
          <w:szCs w:val="22"/>
        </w:rPr>
      </w:pPr>
    </w:p>
    <w:p w14:paraId="6FA57725" w14:textId="77777777" w:rsidR="00565932" w:rsidRPr="00771E96" w:rsidRDefault="00565932" w:rsidP="00565932">
      <w:pPr>
        <w:rPr>
          <w:rFonts w:asciiTheme="minorHAnsi" w:hAnsiTheme="minorHAnsi" w:cstheme="minorHAnsi"/>
          <w:sz w:val="22"/>
          <w:szCs w:val="22"/>
        </w:rPr>
      </w:pPr>
      <w:bookmarkStart w:id="12" w:name="_2et92p0" w:colFirst="0" w:colLast="0"/>
      <w:bookmarkEnd w:id="12"/>
      <w:r w:rsidRPr="00771E96">
        <w:rPr>
          <w:rFonts w:asciiTheme="minorHAnsi" w:hAnsiTheme="minorHAnsi" w:cstheme="minorHAnsi"/>
          <w:sz w:val="22"/>
          <w:szCs w:val="22"/>
        </w:rPr>
        <w:t>A workplace hazard is something that has the potential to cause harm or injury to a person in the workplace. The types of hazards will depend on the organisation and the work environment, for example common hazards on a mine site will be different to those in an office environment.  Depending on your work environment, hazards may include:</w:t>
      </w:r>
    </w:p>
    <w:p w14:paraId="39D8BEDA" w14:textId="77777777" w:rsidR="00565932" w:rsidRPr="00771E96" w:rsidRDefault="00565932" w:rsidP="00565932">
      <w:pPr>
        <w:rPr>
          <w:rFonts w:asciiTheme="minorHAnsi" w:hAnsiTheme="minorHAnsi" w:cstheme="minorHAnsi"/>
          <w:sz w:val="22"/>
          <w:szCs w:val="22"/>
        </w:rPr>
      </w:pPr>
    </w:p>
    <w:p w14:paraId="4B1E8723" w14:textId="77777777" w:rsidR="00565932" w:rsidRPr="00771E96" w:rsidRDefault="00565932" w:rsidP="00565932">
      <w:pPr>
        <w:pStyle w:val="ListParagraph"/>
        <w:numPr>
          <w:ilvl w:val="0"/>
          <w:numId w:val="5"/>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physical (working at heights, falling objects, electricity, trip hazards)</w:t>
      </w:r>
    </w:p>
    <w:p w14:paraId="6D3330AA" w14:textId="77777777" w:rsidR="00565932" w:rsidRPr="00771E96" w:rsidRDefault="00565932" w:rsidP="00565932">
      <w:pPr>
        <w:pStyle w:val="ListParagraph"/>
        <w:numPr>
          <w:ilvl w:val="0"/>
          <w:numId w:val="5"/>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chemical (poisons, hazardous materials)</w:t>
      </w:r>
    </w:p>
    <w:p w14:paraId="5FDED9A0" w14:textId="77777777" w:rsidR="00565932" w:rsidRPr="00771E96" w:rsidRDefault="00565932" w:rsidP="00565932">
      <w:pPr>
        <w:pStyle w:val="ListParagraph"/>
        <w:numPr>
          <w:ilvl w:val="0"/>
          <w:numId w:val="5"/>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biological (blood, viruses, bacteria)</w:t>
      </w:r>
    </w:p>
    <w:p w14:paraId="034FB050" w14:textId="77777777" w:rsidR="00565932" w:rsidRDefault="00565932" w:rsidP="00565932">
      <w:pPr>
        <w:pStyle w:val="ListParagraph"/>
        <w:numPr>
          <w:ilvl w:val="0"/>
          <w:numId w:val="5"/>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environmental (air pollution, excessive noise, hot/ cold temperatures)</w:t>
      </w:r>
    </w:p>
    <w:p w14:paraId="1D367DCF" w14:textId="3A8BAA1F" w:rsidR="00BF6263" w:rsidRPr="00771E96" w:rsidRDefault="00BF6263" w:rsidP="00565932">
      <w:pPr>
        <w:pStyle w:val="ListParagraph"/>
        <w:numPr>
          <w:ilvl w:val="0"/>
          <w:numId w:val="5"/>
        </w:numPr>
        <w:pBdr>
          <w:top w:val="nil"/>
          <w:left w:val="nil"/>
          <w:bottom w:val="nil"/>
          <w:right w:val="nil"/>
          <w:between w:val="nil"/>
        </w:pBdr>
        <w:rPr>
          <w:rFonts w:asciiTheme="minorHAnsi" w:hAnsiTheme="minorHAnsi" w:cstheme="minorHAnsi"/>
        </w:rPr>
      </w:pPr>
      <w:r>
        <w:rPr>
          <w:rFonts w:asciiTheme="minorHAnsi" w:hAnsiTheme="minorHAnsi" w:cstheme="minorHAnsi"/>
        </w:rPr>
        <w:t>psychological</w:t>
      </w:r>
      <w:r w:rsidR="00FC722D">
        <w:rPr>
          <w:rFonts w:asciiTheme="minorHAnsi" w:hAnsiTheme="minorHAnsi" w:cstheme="minorHAnsi"/>
        </w:rPr>
        <w:t xml:space="preserve"> (stress, bullying)</w:t>
      </w:r>
    </w:p>
    <w:p w14:paraId="232B90BB" w14:textId="77777777" w:rsidR="00565932" w:rsidRPr="00771E96" w:rsidRDefault="00565932" w:rsidP="00565932">
      <w:pPr>
        <w:pStyle w:val="ListParagraph"/>
        <w:numPr>
          <w:ilvl w:val="0"/>
          <w:numId w:val="5"/>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ergonomic (chair and desk alignment)</w:t>
      </w:r>
    </w:p>
    <w:p w14:paraId="595C1B18" w14:textId="77777777" w:rsidR="00565932" w:rsidRPr="00771E96" w:rsidRDefault="00565932" w:rsidP="00565932">
      <w:pPr>
        <w:rPr>
          <w:rFonts w:asciiTheme="minorHAnsi" w:hAnsiTheme="minorHAnsi" w:cstheme="minorHAnsi"/>
          <w:sz w:val="22"/>
          <w:szCs w:val="22"/>
        </w:rPr>
      </w:pPr>
    </w:p>
    <w:p w14:paraId="3D884B4D"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 xml:space="preserve">Workplace hazards can be identified by personal observation, inspecting the workplace and talking to other workers, supervisors or health and safety representatives or professionals.  It is important to be aware of the common hazards in your workplace and to immediately report any hazards you become of aware of. </w:t>
      </w:r>
    </w:p>
    <w:p w14:paraId="30BD8BCF" w14:textId="77777777" w:rsidR="00565932" w:rsidRPr="00771E96" w:rsidRDefault="00565932" w:rsidP="00565932">
      <w:pPr>
        <w:rPr>
          <w:rFonts w:asciiTheme="minorHAnsi" w:hAnsiTheme="minorHAnsi" w:cstheme="minorHAnsi"/>
          <w:sz w:val="22"/>
          <w:szCs w:val="22"/>
        </w:rPr>
      </w:pPr>
    </w:p>
    <w:p w14:paraId="72A95EEF" w14:textId="77777777" w:rsidR="00565932" w:rsidRPr="00771E96" w:rsidRDefault="00565932" w:rsidP="00565932">
      <w:pPr>
        <w:jc w:val="both"/>
        <w:rPr>
          <w:rFonts w:asciiTheme="minorHAnsi" w:hAnsiTheme="minorHAnsi" w:cstheme="minorHAnsi"/>
          <w:b/>
          <w:sz w:val="22"/>
          <w:szCs w:val="22"/>
        </w:rPr>
      </w:pPr>
    </w:p>
    <w:p w14:paraId="66ABF5C0" w14:textId="77777777" w:rsidR="00565932" w:rsidRPr="00771E96" w:rsidRDefault="00565932" w:rsidP="009F1292">
      <w:pPr>
        <w:pStyle w:val="Heading4"/>
        <w:rPr>
          <w:rFonts w:asciiTheme="minorHAnsi" w:hAnsiTheme="minorHAnsi" w:cstheme="minorHAnsi"/>
        </w:rPr>
      </w:pPr>
      <w:bookmarkStart w:id="13" w:name="_Toc64283003"/>
      <w:r w:rsidRPr="00771E96">
        <w:rPr>
          <w:rFonts w:asciiTheme="minorHAnsi" w:hAnsiTheme="minorHAnsi" w:cstheme="minorHAnsi"/>
        </w:rPr>
        <w:lastRenderedPageBreak/>
        <w:t>Common Hazards in an Office Environment</w:t>
      </w:r>
      <w:bookmarkEnd w:id="13"/>
    </w:p>
    <w:p w14:paraId="6DFFBB90" w14:textId="77777777" w:rsidR="00565932" w:rsidRPr="00771E96" w:rsidRDefault="00565932" w:rsidP="00565932">
      <w:pPr>
        <w:jc w:val="both"/>
        <w:rPr>
          <w:rFonts w:asciiTheme="minorHAnsi" w:hAnsiTheme="minorHAnsi" w:cstheme="minorHAnsi"/>
          <w:b/>
          <w:sz w:val="22"/>
          <w:szCs w:val="22"/>
        </w:rPr>
      </w:pPr>
    </w:p>
    <w:p w14:paraId="06CB63F9"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The most common hazards found in administration or office environments include:</w:t>
      </w:r>
    </w:p>
    <w:p w14:paraId="43C70739" w14:textId="77777777" w:rsidR="00565932" w:rsidRPr="00771E96" w:rsidRDefault="00565932" w:rsidP="00565932">
      <w:pPr>
        <w:rPr>
          <w:rFonts w:asciiTheme="minorHAnsi" w:hAnsiTheme="minorHAnsi" w:cstheme="minorHAnsi"/>
          <w:sz w:val="22"/>
          <w:szCs w:val="22"/>
        </w:rPr>
      </w:pPr>
    </w:p>
    <w:p w14:paraId="456CDF49"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 xml:space="preserve">Poorly designed furniture </w:t>
      </w:r>
      <w:r w:rsidR="00480781">
        <w:rPr>
          <w:rFonts w:asciiTheme="minorHAnsi" w:hAnsiTheme="minorHAnsi" w:cstheme="minorHAnsi"/>
        </w:rPr>
        <w:t>or</w:t>
      </w:r>
      <w:r w:rsidRPr="00771E96">
        <w:rPr>
          <w:rFonts w:asciiTheme="minorHAnsi" w:hAnsiTheme="minorHAnsi" w:cstheme="minorHAnsi"/>
        </w:rPr>
        <w:t xml:space="preserve"> equipment (i.e. computer workstations)</w:t>
      </w:r>
    </w:p>
    <w:p w14:paraId="7CBEDB97"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Slips, trips and falls</w:t>
      </w:r>
    </w:p>
    <w:p w14:paraId="40FB3B86"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Electrical hazards from appliances or faulty sockets</w:t>
      </w:r>
    </w:p>
    <w:p w14:paraId="01274D57"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Manual handling (i.e. moving heavy furniture)</w:t>
      </w:r>
    </w:p>
    <w:p w14:paraId="5BCEA4EC"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Poor lighting or ventilation</w:t>
      </w:r>
    </w:p>
    <w:p w14:paraId="2199D2EB"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Repetitive actions (i.e. typing)</w:t>
      </w:r>
    </w:p>
    <w:p w14:paraId="253D56DE"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Bullying and stress</w:t>
      </w:r>
    </w:p>
    <w:p w14:paraId="3D3A3FCA" w14:textId="77777777" w:rsidR="00565932" w:rsidRPr="00771E96" w:rsidRDefault="00565932" w:rsidP="00565932">
      <w:pPr>
        <w:pStyle w:val="ListParagraph"/>
        <w:numPr>
          <w:ilvl w:val="0"/>
          <w:numId w:val="6"/>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Contagious illness spread by co-workers</w:t>
      </w:r>
      <w:r w:rsidR="00DD224B">
        <w:rPr>
          <w:rFonts w:asciiTheme="minorHAnsi" w:hAnsiTheme="minorHAnsi" w:cstheme="minorHAnsi"/>
        </w:rPr>
        <w:t xml:space="preserve"> (virus including Covid-19)</w:t>
      </w:r>
      <w:r w:rsidR="006E10A4">
        <w:rPr>
          <w:rFonts w:asciiTheme="minorHAnsi" w:hAnsiTheme="minorHAnsi" w:cstheme="minorHAnsi"/>
        </w:rPr>
        <w:t>.</w:t>
      </w:r>
    </w:p>
    <w:p w14:paraId="7EAE0A9C" w14:textId="77777777" w:rsidR="00565932" w:rsidRPr="00771E96" w:rsidRDefault="00565932" w:rsidP="00565932">
      <w:pPr>
        <w:pStyle w:val="ListParagraph"/>
        <w:rPr>
          <w:rFonts w:asciiTheme="minorHAnsi" w:hAnsiTheme="minorHAnsi" w:cstheme="minorHAnsi"/>
        </w:rPr>
      </w:pPr>
    </w:p>
    <w:p w14:paraId="75DA07E4" w14:textId="77777777" w:rsidR="00DD224B" w:rsidRDefault="00DD224B">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86DB488"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lastRenderedPageBreak/>
        <w:t xml:space="preserve">Your organisation should have forms, documents, policies and procedures readily available to staff, that dictate how and to whom you report any identified hazards. Below is an example of an organisation’s Hazard Report Form. </w:t>
      </w:r>
      <w:r w:rsidR="00DD224B">
        <w:rPr>
          <w:rFonts w:asciiTheme="minorHAnsi" w:hAnsiTheme="minorHAnsi" w:cstheme="minorHAnsi"/>
          <w:sz w:val="22"/>
          <w:szCs w:val="22"/>
        </w:rPr>
        <w:br/>
      </w:r>
    </w:p>
    <w:p w14:paraId="33B3A53E" w14:textId="77777777" w:rsidR="00565932" w:rsidRPr="00771E96" w:rsidRDefault="00565932" w:rsidP="00565932">
      <w:pPr>
        <w:rPr>
          <w:rFonts w:asciiTheme="minorHAnsi" w:hAnsiTheme="minorHAnsi" w:cstheme="minorHAnsi"/>
          <w:sz w:val="22"/>
          <w:szCs w:val="22"/>
        </w:rPr>
      </w:pPr>
    </w:p>
    <w:p w14:paraId="0DD6FB37" w14:textId="77777777" w:rsidR="00565932" w:rsidRPr="00771E96" w:rsidRDefault="00565932" w:rsidP="00565932">
      <w:pPr>
        <w:rPr>
          <w:rFonts w:asciiTheme="minorHAnsi" w:hAnsiTheme="minorHAnsi" w:cstheme="minorHAnsi"/>
          <w:noProof/>
        </w:rPr>
      </w:pPr>
      <w:r w:rsidRPr="00771E96">
        <w:rPr>
          <w:rFonts w:asciiTheme="minorHAnsi" w:hAnsiTheme="minorHAnsi" w:cstheme="minorHAnsi"/>
          <w:noProof/>
        </w:rPr>
        <w:drawing>
          <wp:inline distT="0" distB="0" distL="0" distR="0" wp14:anchorId="3350D62C" wp14:editId="3F35331F">
            <wp:extent cx="5562600" cy="6908307"/>
            <wp:effectExtent l="0" t="0" r="0" b="698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2256" cy="6920299"/>
                    </a:xfrm>
                    <a:prstGeom prst="rect">
                      <a:avLst/>
                    </a:prstGeom>
                    <a:noFill/>
                    <a:ln>
                      <a:noFill/>
                    </a:ln>
                  </pic:spPr>
                </pic:pic>
              </a:graphicData>
            </a:graphic>
          </wp:inline>
        </w:drawing>
      </w:r>
    </w:p>
    <w:p w14:paraId="0B702F98" w14:textId="77777777" w:rsidR="00565932" w:rsidRPr="00771E96" w:rsidRDefault="00565932" w:rsidP="00565932">
      <w:pPr>
        <w:rPr>
          <w:rFonts w:asciiTheme="minorHAnsi" w:hAnsiTheme="minorHAnsi" w:cstheme="minorHAnsi"/>
          <w:noProof/>
        </w:rPr>
      </w:pPr>
    </w:p>
    <w:p w14:paraId="69DEA00D" w14:textId="77777777" w:rsidR="00565932" w:rsidRPr="00771E96" w:rsidRDefault="00565932" w:rsidP="009F1292">
      <w:pPr>
        <w:pStyle w:val="Heading4"/>
        <w:rPr>
          <w:rFonts w:asciiTheme="minorHAnsi" w:hAnsiTheme="minorHAnsi" w:cstheme="minorHAnsi"/>
        </w:rPr>
      </w:pPr>
      <w:r w:rsidRPr="00771E96">
        <w:rPr>
          <w:rFonts w:asciiTheme="minorHAnsi" w:hAnsiTheme="minorHAnsi" w:cstheme="minorHAnsi"/>
        </w:rPr>
        <w:br w:type="page"/>
      </w:r>
      <w:bookmarkStart w:id="14" w:name="_Toc64283004"/>
      <w:r w:rsidRPr="00771E96">
        <w:rPr>
          <w:rFonts w:asciiTheme="minorHAnsi" w:hAnsiTheme="minorHAnsi" w:cstheme="minorHAnsi"/>
        </w:rPr>
        <w:lastRenderedPageBreak/>
        <w:t>Assessing Risks</w:t>
      </w:r>
      <w:bookmarkEnd w:id="14"/>
    </w:p>
    <w:p w14:paraId="1CAEF7A7" w14:textId="77777777" w:rsidR="00565932" w:rsidRPr="00771E96" w:rsidRDefault="00565932" w:rsidP="00565932">
      <w:pPr>
        <w:rPr>
          <w:rFonts w:asciiTheme="minorHAnsi" w:hAnsiTheme="minorHAnsi" w:cstheme="minorHAnsi"/>
          <w:b/>
          <w:sz w:val="22"/>
          <w:szCs w:val="22"/>
        </w:rPr>
      </w:pPr>
    </w:p>
    <w:p w14:paraId="7F5F8ED7"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A risk is the possibility that some harm (injury, illness or death) might come to a person as a result of being exposed</w:t>
      </w:r>
      <w:r w:rsidR="00DD224B">
        <w:rPr>
          <w:rFonts w:asciiTheme="minorHAnsi" w:hAnsiTheme="minorHAnsi" w:cstheme="minorHAnsi"/>
          <w:sz w:val="22"/>
          <w:szCs w:val="22"/>
        </w:rPr>
        <w:t xml:space="preserve"> to a hazard in the workplace. </w:t>
      </w:r>
      <w:r w:rsidRPr="00771E96">
        <w:rPr>
          <w:rFonts w:asciiTheme="minorHAnsi" w:hAnsiTheme="minorHAnsi" w:cstheme="minorHAnsi"/>
          <w:sz w:val="22"/>
          <w:szCs w:val="22"/>
        </w:rPr>
        <w:t>Workplace risks should be assessed to determine what could happen if the person is exposed to the hazard and the likelihood of this outcome occurring.  In order to determine this, a risk assessment should be performed.</w:t>
      </w:r>
    </w:p>
    <w:p w14:paraId="0FF7D1C2" w14:textId="77777777" w:rsidR="00565932" w:rsidRPr="00771E96" w:rsidRDefault="00565932" w:rsidP="00565932">
      <w:pPr>
        <w:rPr>
          <w:rFonts w:asciiTheme="minorHAnsi" w:hAnsiTheme="minorHAnsi" w:cstheme="minorHAnsi"/>
          <w:sz w:val="22"/>
          <w:szCs w:val="22"/>
        </w:rPr>
      </w:pPr>
    </w:p>
    <w:p w14:paraId="3136B880"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A risk assessment will help determine:</w:t>
      </w:r>
    </w:p>
    <w:p w14:paraId="1B50C2BF" w14:textId="77777777" w:rsidR="00565932" w:rsidRPr="00771E96" w:rsidRDefault="00565932" w:rsidP="00565932">
      <w:pPr>
        <w:rPr>
          <w:rFonts w:asciiTheme="minorHAnsi" w:hAnsiTheme="minorHAnsi" w:cstheme="minorHAnsi"/>
          <w:sz w:val="22"/>
          <w:szCs w:val="22"/>
        </w:rPr>
      </w:pPr>
    </w:p>
    <w:p w14:paraId="044BCE5D" w14:textId="77777777" w:rsidR="00565932" w:rsidRPr="00771E96" w:rsidRDefault="00565932" w:rsidP="00565932">
      <w:pPr>
        <w:pStyle w:val="ListParagraph"/>
        <w:numPr>
          <w:ilvl w:val="0"/>
          <w:numId w:val="7"/>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how severe the risk is</w:t>
      </w:r>
    </w:p>
    <w:p w14:paraId="6B38895E" w14:textId="77777777" w:rsidR="00565932" w:rsidRPr="00771E96" w:rsidRDefault="00565932" w:rsidP="00565932">
      <w:pPr>
        <w:pStyle w:val="ListParagraph"/>
        <w:numPr>
          <w:ilvl w:val="0"/>
          <w:numId w:val="7"/>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what action you should take to eliminate or minimise the risk, and</w:t>
      </w:r>
    </w:p>
    <w:p w14:paraId="72FAD534" w14:textId="77777777" w:rsidR="00565932" w:rsidRPr="00771E96" w:rsidRDefault="00565932" w:rsidP="00565932">
      <w:pPr>
        <w:pStyle w:val="ListParagraph"/>
        <w:numPr>
          <w:ilvl w:val="0"/>
          <w:numId w:val="7"/>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how urgently the action needs to be taken</w:t>
      </w:r>
    </w:p>
    <w:p w14:paraId="1BD2280D" w14:textId="77777777" w:rsidR="00565932" w:rsidRPr="00771E96" w:rsidRDefault="00565932" w:rsidP="00565932">
      <w:pPr>
        <w:rPr>
          <w:rFonts w:asciiTheme="minorHAnsi" w:hAnsiTheme="minorHAnsi" w:cstheme="minorHAnsi"/>
          <w:sz w:val="22"/>
          <w:szCs w:val="22"/>
        </w:rPr>
      </w:pPr>
    </w:p>
    <w:p w14:paraId="68572D72"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The type of risk assessment undertaken will depend on the hazard. The risk assessment for minor hazards/ risks can be relatively simple, such as a conversation with your co-workers and supervisors.  For high risk activities such as live electrical work or entering confined spaces, the risk assessment process will be more complicated and may be specified in relevant industry regulations and codes of practice.</w:t>
      </w:r>
    </w:p>
    <w:p w14:paraId="73776D7D" w14:textId="77777777" w:rsidR="00565932" w:rsidRPr="00771E96" w:rsidRDefault="00565932" w:rsidP="00565932">
      <w:pPr>
        <w:rPr>
          <w:rFonts w:asciiTheme="minorHAnsi" w:hAnsiTheme="minorHAnsi" w:cstheme="minorHAnsi"/>
          <w:sz w:val="22"/>
          <w:szCs w:val="22"/>
        </w:rPr>
      </w:pPr>
    </w:p>
    <w:p w14:paraId="47B05703"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A risk matrix can be used to determine the risk rating, by combining the likelihood of the consequence occurring and the severity of the possible outcomes.</w:t>
      </w:r>
    </w:p>
    <w:p w14:paraId="5306D8A5" w14:textId="77777777" w:rsidR="00565932" w:rsidRPr="00771E96" w:rsidRDefault="00565932" w:rsidP="00565932">
      <w:pPr>
        <w:rPr>
          <w:rFonts w:asciiTheme="minorHAnsi" w:hAnsiTheme="minorHAnsi" w:cstheme="minorHAnsi"/>
          <w:sz w:val="22"/>
          <w:szCs w:val="22"/>
        </w:rPr>
      </w:pPr>
    </w:p>
    <w:p w14:paraId="48B20184" w14:textId="77777777" w:rsidR="00565932" w:rsidRPr="00771E96" w:rsidRDefault="00565932" w:rsidP="00565932">
      <w:pPr>
        <w:rPr>
          <w:rFonts w:asciiTheme="minorHAnsi" w:hAnsiTheme="minorHAnsi" w:cstheme="minorHAnsi"/>
          <w:sz w:val="22"/>
          <w:szCs w:val="22"/>
        </w:rPr>
      </w:pPr>
    </w:p>
    <w:tbl>
      <w:tblPr>
        <w:tblW w:w="9083" w:type="dxa"/>
        <w:tblInd w:w="108" w:type="dxa"/>
        <w:tblLook w:val="04A0" w:firstRow="1" w:lastRow="0" w:firstColumn="1" w:lastColumn="0" w:noHBand="0" w:noVBand="1"/>
      </w:tblPr>
      <w:tblGrid>
        <w:gridCol w:w="1843"/>
        <w:gridCol w:w="1400"/>
        <w:gridCol w:w="1460"/>
        <w:gridCol w:w="1460"/>
        <w:gridCol w:w="1460"/>
        <w:gridCol w:w="1460"/>
      </w:tblGrid>
      <w:tr w:rsidR="00565932" w:rsidRPr="00771E96" w14:paraId="2CDCCABB" w14:textId="77777777" w:rsidTr="0012000D">
        <w:trPr>
          <w:trHeight w:val="255"/>
        </w:trPr>
        <w:tc>
          <w:tcPr>
            <w:tcW w:w="1843" w:type="dxa"/>
            <w:tcBorders>
              <w:top w:val="nil"/>
              <w:left w:val="nil"/>
              <w:bottom w:val="nil"/>
              <w:right w:val="nil"/>
            </w:tcBorders>
            <w:shd w:val="clear" w:color="auto" w:fill="auto"/>
            <w:vAlign w:val="bottom"/>
            <w:hideMark/>
          </w:tcPr>
          <w:p w14:paraId="6FF0FB0B" w14:textId="77777777" w:rsidR="00565932" w:rsidRPr="00771E96" w:rsidRDefault="00565932" w:rsidP="0012000D">
            <w:pPr>
              <w:rPr>
                <w:rFonts w:asciiTheme="minorHAnsi" w:hAnsiTheme="minorHAnsi" w:cstheme="minorHAnsi"/>
                <w:color w:val="auto"/>
                <w:kern w:val="0"/>
                <w:sz w:val="24"/>
                <w:szCs w:val="24"/>
              </w:rPr>
            </w:pPr>
          </w:p>
        </w:tc>
        <w:tc>
          <w:tcPr>
            <w:tcW w:w="724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DBC9E3"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LIKELIHOOD</w:t>
            </w:r>
          </w:p>
        </w:tc>
      </w:tr>
      <w:tr w:rsidR="00565932" w:rsidRPr="00771E96" w14:paraId="2B1E6D08" w14:textId="77777777" w:rsidTr="0012000D">
        <w:trPr>
          <w:trHeight w:val="510"/>
        </w:trPr>
        <w:tc>
          <w:tcPr>
            <w:tcW w:w="1843" w:type="dxa"/>
            <w:tcBorders>
              <w:top w:val="nil"/>
              <w:left w:val="nil"/>
              <w:bottom w:val="nil"/>
              <w:right w:val="nil"/>
            </w:tcBorders>
            <w:shd w:val="clear" w:color="auto" w:fill="auto"/>
            <w:vAlign w:val="bottom"/>
            <w:hideMark/>
          </w:tcPr>
          <w:p w14:paraId="2D5A236E" w14:textId="77777777" w:rsidR="00565932" w:rsidRPr="00771E96" w:rsidRDefault="00565932" w:rsidP="0012000D">
            <w:pPr>
              <w:jc w:val="center"/>
              <w:rPr>
                <w:rFonts w:asciiTheme="minorHAnsi" w:hAnsiTheme="minorHAnsi" w:cstheme="minorHAnsi"/>
                <w:b/>
                <w:bCs/>
                <w:kern w:val="0"/>
              </w:rPr>
            </w:pPr>
          </w:p>
        </w:tc>
        <w:tc>
          <w:tcPr>
            <w:tcW w:w="1400" w:type="dxa"/>
            <w:tcBorders>
              <w:top w:val="nil"/>
              <w:left w:val="single" w:sz="4" w:space="0" w:color="auto"/>
              <w:bottom w:val="nil"/>
              <w:right w:val="single" w:sz="4" w:space="0" w:color="auto"/>
            </w:tcBorders>
            <w:shd w:val="clear" w:color="auto" w:fill="auto"/>
            <w:noWrap/>
            <w:vAlign w:val="center"/>
            <w:hideMark/>
          </w:tcPr>
          <w:p w14:paraId="760DEEF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Rare</w:t>
            </w:r>
          </w:p>
        </w:tc>
        <w:tc>
          <w:tcPr>
            <w:tcW w:w="1460" w:type="dxa"/>
            <w:tcBorders>
              <w:top w:val="nil"/>
              <w:left w:val="nil"/>
              <w:bottom w:val="nil"/>
              <w:right w:val="single" w:sz="4" w:space="0" w:color="auto"/>
            </w:tcBorders>
            <w:shd w:val="clear" w:color="auto" w:fill="auto"/>
            <w:noWrap/>
            <w:vAlign w:val="center"/>
            <w:hideMark/>
          </w:tcPr>
          <w:p w14:paraId="0F95D99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Unlikely</w:t>
            </w:r>
          </w:p>
        </w:tc>
        <w:tc>
          <w:tcPr>
            <w:tcW w:w="1460" w:type="dxa"/>
            <w:tcBorders>
              <w:top w:val="nil"/>
              <w:left w:val="nil"/>
              <w:bottom w:val="nil"/>
              <w:right w:val="nil"/>
            </w:tcBorders>
            <w:shd w:val="clear" w:color="auto" w:fill="auto"/>
            <w:noWrap/>
            <w:vAlign w:val="center"/>
            <w:hideMark/>
          </w:tcPr>
          <w:p w14:paraId="02CA525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nil"/>
              <w:left w:val="single" w:sz="4" w:space="0" w:color="auto"/>
              <w:bottom w:val="nil"/>
              <w:right w:val="single" w:sz="4" w:space="0" w:color="auto"/>
            </w:tcBorders>
            <w:shd w:val="clear" w:color="auto" w:fill="auto"/>
            <w:noWrap/>
            <w:vAlign w:val="center"/>
            <w:hideMark/>
          </w:tcPr>
          <w:p w14:paraId="26C5F2E8"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Likely</w:t>
            </w:r>
          </w:p>
        </w:tc>
        <w:tc>
          <w:tcPr>
            <w:tcW w:w="1460" w:type="dxa"/>
            <w:tcBorders>
              <w:top w:val="nil"/>
              <w:left w:val="nil"/>
              <w:bottom w:val="nil"/>
              <w:right w:val="single" w:sz="4" w:space="0" w:color="auto"/>
            </w:tcBorders>
            <w:shd w:val="clear" w:color="auto" w:fill="auto"/>
            <w:vAlign w:val="center"/>
            <w:hideMark/>
          </w:tcPr>
          <w:p w14:paraId="13046835"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Almost Certain</w:t>
            </w:r>
          </w:p>
        </w:tc>
      </w:tr>
      <w:tr w:rsidR="00565932" w:rsidRPr="00771E96" w14:paraId="43BB8170" w14:textId="77777777" w:rsidTr="0012000D">
        <w:trPr>
          <w:trHeight w:val="510"/>
        </w:trPr>
        <w:tc>
          <w:tcPr>
            <w:tcW w:w="1843" w:type="dxa"/>
            <w:tcBorders>
              <w:top w:val="single" w:sz="4" w:space="0" w:color="auto"/>
              <w:left w:val="single" w:sz="4" w:space="0" w:color="auto"/>
              <w:bottom w:val="nil"/>
              <w:right w:val="nil"/>
            </w:tcBorders>
            <w:shd w:val="clear" w:color="auto" w:fill="auto"/>
            <w:vAlign w:val="center"/>
            <w:hideMark/>
          </w:tcPr>
          <w:p w14:paraId="49499316"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CONSEQUENCE</w:t>
            </w:r>
          </w:p>
        </w:tc>
        <w:tc>
          <w:tcPr>
            <w:tcW w:w="1400" w:type="dxa"/>
            <w:tcBorders>
              <w:top w:val="nil"/>
              <w:left w:val="single" w:sz="4" w:space="0" w:color="auto"/>
              <w:bottom w:val="nil"/>
              <w:right w:val="single" w:sz="4" w:space="0" w:color="auto"/>
            </w:tcBorders>
            <w:shd w:val="clear" w:color="auto" w:fill="auto"/>
            <w:vAlign w:val="bottom"/>
            <w:hideMark/>
          </w:tcPr>
          <w:p w14:paraId="269CA243" w14:textId="77777777" w:rsidR="00565932" w:rsidRPr="00771E96" w:rsidRDefault="00565932" w:rsidP="0012000D">
            <w:pPr>
              <w:jc w:val="center"/>
              <w:rPr>
                <w:rFonts w:asciiTheme="minorHAnsi" w:hAnsiTheme="minorHAnsi" w:cstheme="minorHAnsi"/>
                <w:kern w:val="0"/>
                <w:sz w:val="18"/>
                <w:szCs w:val="18"/>
              </w:rPr>
            </w:pPr>
            <w:r w:rsidRPr="00771E96">
              <w:rPr>
                <w:rFonts w:asciiTheme="minorHAnsi" w:hAnsiTheme="minorHAnsi" w:cstheme="minorHAnsi"/>
                <w:kern w:val="0"/>
                <w:sz w:val="18"/>
                <w:szCs w:val="18"/>
              </w:rPr>
              <w:t>Very unlikely to occur</w:t>
            </w:r>
          </w:p>
        </w:tc>
        <w:tc>
          <w:tcPr>
            <w:tcW w:w="1460" w:type="dxa"/>
            <w:tcBorders>
              <w:top w:val="nil"/>
              <w:left w:val="nil"/>
              <w:bottom w:val="nil"/>
              <w:right w:val="single" w:sz="4" w:space="0" w:color="auto"/>
            </w:tcBorders>
            <w:shd w:val="clear" w:color="auto" w:fill="auto"/>
            <w:vAlign w:val="bottom"/>
            <w:hideMark/>
          </w:tcPr>
          <w:p w14:paraId="6209B410" w14:textId="77777777" w:rsidR="00565932" w:rsidRPr="00771E96" w:rsidRDefault="00565932" w:rsidP="0012000D">
            <w:pPr>
              <w:jc w:val="center"/>
              <w:rPr>
                <w:rFonts w:asciiTheme="minorHAnsi" w:hAnsiTheme="minorHAnsi" w:cstheme="minorHAnsi"/>
                <w:kern w:val="0"/>
                <w:sz w:val="18"/>
                <w:szCs w:val="18"/>
              </w:rPr>
            </w:pPr>
            <w:r w:rsidRPr="00771E96">
              <w:rPr>
                <w:rFonts w:asciiTheme="minorHAnsi" w:hAnsiTheme="minorHAnsi" w:cstheme="minorHAnsi"/>
                <w:kern w:val="0"/>
                <w:sz w:val="18"/>
                <w:szCs w:val="18"/>
              </w:rPr>
              <w:t>Unlikely to    occur</w:t>
            </w:r>
          </w:p>
        </w:tc>
        <w:tc>
          <w:tcPr>
            <w:tcW w:w="1460" w:type="dxa"/>
            <w:tcBorders>
              <w:top w:val="nil"/>
              <w:left w:val="nil"/>
              <w:bottom w:val="nil"/>
              <w:right w:val="nil"/>
            </w:tcBorders>
            <w:shd w:val="clear" w:color="auto" w:fill="auto"/>
            <w:vAlign w:val="bottom"/>
            <w:hideMark/>
          </w:tcPr>
          <w:p w14:paraId="294DADD8" w14:textId="77777777" w:rsidR="00565932" w:rsidRPr="00771E96" w:rsidRDefault="00565932" w:rsidP="0012000D">
            <w:pPr>
              <w:jc w:val="center"/>
              <w:rPr>
                <w:rFonts w:asciiTheme="minorHAnsi" w:hAnsiTheme="minorHAnsi" w:cstheme="minorHAnsi"/>
                <w:kern w:val="0"/>
                <w:sz w:val="18"/>
                <w:szCs w:val="18"/>
              </w:rPr>
            </w:pPr>
            <w:r w:rsidRPr="00771E96">
              <w:rPr>
                <w:rFonts w:asciiTheme="minorHAnsi" w:hAnsiTheme="minorHAnsi" w:cstheme="minorHAnsi"/>
                <w:kern w:val="0"/>
                <w:sz w:val="18"/>
                <w:szCs w:val="18"/>
              </w:rPr>
              <w:t>Occurs sometimes</w:t>
            </w:r>
          </w:p>
        </w:tc>
        <w:tc>
          <w:tcPr>
            <w:tcW w:w="1460" w:type="dxa"/>
            <w:tcBorders>
              <w:top w:val="nil"/>
              <w:left w:val="single" w:sz="4" w:space="0" w:color="auto"/>
              <w:bottom w:val="nil"/>
              <w:right w:val="single" w:sz="4" w:space="0" w:color="auto"/>
            </w:tcBorders>
            <w:shd w:val="clear" w:color="auto" w:fill="auto"/>
            <w:vAlign w:val="bottom"/>
            <w:hideMark/>
          </w:tcPr>
          <w:p w14:paraId="2412FDC1" w14:textId="77777777" w:rsidR="00565932" w:rsidRPr="00771E96" w:rsidRDefault="00565932" w:rsidP="0012000D">
            <w:pPr>
              <w:jc w:val="center"/>
              <w:rPr>
                <w:rFonts w:asciiTheme="minorHAnsi" w:hAnsiTheme="minorHAnsi" w:cstheme="minorHAnsi"/>
                <w:kern w:val="0"/>
                <w:sz w:val="18"/>
                <w:szCs w:val="18"/>
              </w:rPr>
            </w:pPr>
            <w:r w:rsidRPr="00771E96">
              <w:rPr>
                <w:rFonts w:asciiTheme="minorHAnsi" w:hAnsiTheme="minorHAnsi" w:cstheme="minorHAnsi"/>
                <w:kern w:val="0"/>
                <w:sz w:val="18"/>
                <w:szCs w:val="18"/>
              </w:rPr>
              <w:t>Will probably occur</w:t>
            </w:r>
          </w:p>
        </w:tc>
        <w:tc>
          <w:tcPr>
            <w:tcW w:w="1460" w:type="dxa"/>
            <w:tcBorders>
              <w:top w:val="nil"/>
              <w:left w:val="nil"/>
              <w:bottom w:val="nil"/>
              <w:right w:val="single" w:sz="4" w:space="0" w:color="auto"/>
            </w:tcBorders>
            <w:shd w:val="clear" w:color="auto" w:fill="auto"/>
            <w:vAlign w:val="bottom"/>
            <w:hideMark/>
          </w:tcPr>
          <w:p w14:paraId="079D9721" w14:textId="77777777" w:rsidR="00565932" w:rsidRPr="00771E96" w:rsidRDefault="00565932" w:rsidP="0012000D">
            <w:pPr>
              <w:jc w:val="center"/>
              <w:rPr>
                <w:rFonts w:asciiTheme="minorHAnsi" w:hAnsiTheme="minorHAnsi" w:cstheme="minorHAnsi"/>
                <w:kern w:val="0"/>
                <w:sz w:val="18"/>
                <w:szCs w:val="18"/>
              </w:rPr>
            </w:pPr>
            <w:r w:rsidRPr="00771E96">
              <w:rPr>
                <w:rFonts w:asciiTheme="minorHAnsi" w:hAnsiTheme="minorHAnsi" w:cstheme="minorHAnsi"/>
                <w:kern w:val="0"/>
                <w:sz w:val="18"/>
                <w:szCs w:val="18"/>
              </w:rPr>
              <w:t>Almost certain to occur</w:t>
            </w:r>
          </w:p>
        </w:tc>
      </w:tr>
      <w:tr w:rsidR="00565932" w:rsidRPr="00771E96" w14:paraId="5F423851" w14:textId="77777777" w:rsidTr="0012000D">
        <w:trPr>
          <w:trHeight w:val="255"/>
        </w:trPr>
        <w:tc>
          <w:tcPr>
            <w:tcW w:w="1843" w:type="dxa"/>
            <w:tcBorders>
              <w:top w:val="single" w:sz="4" w:space="0" w:color="auto"/>
              <w:left w:val="single" w:sz="4" w:space="0" w:color="auto"/>
              <w:bottom w:val="nil"/>
              <w:right w:val="nil"/>
            </w:tcBorders>
            <w:shd w:val="clear" w:color="auto" w:fill="auto"/>
            <w:vAlign w:val="bottom"/>
            <w:hideMark/>
          </w:tcPr>
          <w:p w14:paraId="0B618539"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Insignificant</w:t>
            </w:r>
          </w:p>
        </w:tc>
        <w:tc>
          <w:tcPr>
            <w:tcW w:w="1400" w:type="dxa"/>
            <w:tcBorders>
              <w:top w:val="single" w:sz="4" w:space="0" w:color="auto"/>
              <w:left w:val="single" w:sz="4" w:space="0" w:color="auto"/>
              <w:bottom w:val="nil"/>
              <w:right w:val="single" w:sz="4" w:space="0" w:color="auto"/>
            </w:tcBorders>
            <w:shd w:val="clear" w:color="000000" w:fill="A9D08E"/>
            <w:noWrap/>
            <w:vAlign w:val="center"/>
            <w:hideMark/>
          </w:tcPr>
          <w:p w14:paraId="3740A5E3"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single" w:sz="4" w:space="0" w:color="auto"/>
              <w:left w:val="nil"/>
              <w:bottom w:val="nil"/>
              <w:right w:val="single" w:sz="4" w:space="0" w:color="auto"/>
            </w:tcBorders>
            <w:shd w:val="clear" w:color="000000" w:fill="A9D08E"/>
            <w:noWrap/>
            <w:vAlign w:val="center"/>
            <w:hideMark/>
          </w:tcPr>
          <w:p w14:paraId="4628C88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single" w:sz="4" w:space="0" w:color="auto"/>
              <w:left w:val="nil"/>
              <w:bottom w:val="nil"/>
              <w:right w:val="single" w:sz="4" w:space="0" w:color="auto"/>
            </w:tcBorders>
            <w:shd w:val="clear" w:color="000000" w:fill="A9D08E"/>
            <w:noWrap/>
            <w:vAlign w:val="center"/>
            <w:hideMark/>
          </w:tcPr>
          <w:p w14:paraId="25A300A6"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single" w:sz="4" w:space="0" w:color="auto"/>
              <w:left w:val="nil"/>
              <w:bottom w:val="nil"/>
              <w:right w:val="single" w:sz="4" w:space="0" w:color="auto"/>
            </w:tcBorders>
            <w:shd w:val="clear" w:color="000000" w:fill="A9D08E"/>
            <w:noWrap/>
            <w:vAlign w:val="center"/>
            <w:hideMark/>
          </w:tcPr>
          <w:p w14:paraId="795CACF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single" w:sz="4" w:space="0" w:color="auto"/>
              <w:left w:val="nil"/>
              <w:bottom w:val="nil"/>
              <w:right w:val="single" w:sz="4" w:space="0" w:color="auto"/>
            </w:tcBorders>
            <w:shd w:val="clear" w:color="000000" w:fill="FFFF00"/>
            <w:noWrap/>
            <w:vAlign w:val="center"/>
            <w:hideMark/>
          </w:tcPr>
          <w:p w14:paraId="736405D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r>
      <w:tr w:rsidR="00565932" w:rsidRPr="00771E96" w14:paraId="4159C289" w14:textId="77777777" w:rsidTr="0012000D">
        <w:trPr>
          <w:trHeight w:val="255"/>
        </w:trPr>
        <w:tc>
          <w:tcPr>
            <w:tcW w:w="1843" w:type="dxa"/>
            <w:tcBorders>
              <w:top w:val="nil"/>
              <w:left w:val="single" w:sz="4" w:space="0" w:color="auto"/>
              <w:bottom w:val="single" w:sz="4" w:space="0" w:color="auto"/>
              <w:right w:val="nil"/>
            </w:tcBorders>
            <w:shd w:val="clear" w:color="auto" w:fill="auto"/>
            <w:vAlign w:val="bottom"/>
            <w:hideMark/>
          </w:tcPr>
          <w:p w14:paraId="0A776275" w14:textId="77777777" w:rsidR="00565932" w:rsidRPr="00771E96" w:rsidRDefault="00565932" w:rsidP="0012000D">
            <w:pPr>
              <w:rPr>
                <w:rFonts w:asciiTheme="minorHAnsi" w:hAnsiTheme="minorHAnsi" w:cstheme="minorHAnsi"/>
                <w:kern w:val="0"/>
              </w:rPr>
            </w:pPr>
            <w:r w:rsidRPr="00771E96">
              <w:rPr>
                <w:rFonts w:asciiTheme="minorHAnsi" w:hAnsiTheme="minorHAnsi" w:cstheme="minorHAnsi"/>
                <w:kern w:val="0"/>
              </w:rPr>
              <w:t>No injuries</w:t>
            </w:r>
          </w:p>
        </w:tc>
        <w:tc>
          <w:tcPr>
            <w:tcW w:w="1400" w:type="dxa"/>
            <w:tcBorders>
              <w:top w:val="nil"/>
              <w:left w:val="single" w:sz="4" w:space="0" w:color="auto"/>
              <w:bottom w:val="single" w:sz="4" w:space="0" w:color="auto"/>
              <w:right w:val="single" w:sz="4" w:space="0" w:color="auto"/>
            </w:tcBorders>
            <w:shd w:val="clear" w:color="000000" w:fill="A9D08E"/>
            <w:noWrap/>
            <w:vAlign w:val="center"/>
            <w:hideMark/>
          </w:tcPr>
          <w:p w14:paraId="2108CC9E"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A9D08E"/>
            <w:noWrap/>
            <w:vAlign w:val="center"/>
            <w:hideMark/>
          </w:tcPr>
          <w:p w14:paraId="699E8005"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A9D08E"/>
            <w:noWrap/>
            <w:vAlign w:val="center"/>
            <w:hideMark/>
          </w:tcPr>
          <w:p w14:paraId="00A2299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A9D08E"/>
            <w:noWrap/>
            <w:vAlign w:val="center"/>
            <w:hideMark/>
          </w:tcPr>
          <w:p w14:paraId="68235828"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FF00"/>
            <w:noWrap/>
            <w:vAlign w:val="center"/>
            <w:hideMark/>
          </w:tcPr>
          <w:p w14:paraId="2EF9D47E"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r>
      <w:tr w:rsidR="00565932" w:rsidRPr="00771E96" w14:paraId="4B51B049" w14:textId="77777777" w:rsidTr="0012000D">
        <w:trPr>
          <w:trHeight w:val="255"/>
        </w:trPr>
        <w:tc>
          <w:tcPr>
            <w:tcW w:w="1843" w:type="dxa"/>
            <w:tcBorders>
              <w:top w:val="nil"/>
              <w:left w:val="single" w:sz="4" w:space="0" w:color="auto"/>
              <w:bottom w:val="nil"/>
              <w:right w:val="nil"/>
            </w:tcBorders>
            <w:shd w:val="clear" w:color="auto" w:fill="auto"/>
            <w:vAlign w:val="bottom"/>
            <w:hideMark/>
          </w:tcPr>
          <w:p w14:paraId="2B88D6AA"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Minor</w:t>
            </w:r>
          </w:p>
        </w:tc>
        <w:tc>
          <w:tcPr>
            <w:tcW w:w="1400" w:type="dxa"/>
            <w:tcBorders>
              <w:top w:val="nil"/>
              <w:left w:val="single" w:sz="4" w:space="0" w:color="auto"/>
              <w:bottom w:val="nil"/>
              <w:right w:val="single" w:sz="4" w:space="0" w:color="auto"/>
            </w:tcBorders>
            <w:shd w:val="clear" w:color="000000" w:fill="A9D08E"/>
            <w:noWrap/>
            <w:vAlign w:val="center"/>
            <w:hideMark/>
          </w:tcPr>
          <w:p w14:paraId="3BA009E1"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nil"/>
              <w:left w:val="nil"/>
              <w:bottom w:val="nil"/>
              <w:right w:val="single" w:sz="4" w:space="0" w:color="auto"/>
            </w:tcBorders>
            <w:shd w:val="clear" w:color="000000" w:fill="A9D08E"/>
            <w:noWrap/>
            <w:vAlign w:val="center"/>
            <w:hideMark/>
          </w:tcPr>
          <w:p w14:paraId="05A7D99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nil"/>
              <w:left w:val="nil"/>
              <w:bottom w:val="nil"/>
              <w:right w:val="single" w:sz="4" w:space="0" w:color="auto"/>
            </w:tcBorders>
            <w:shd w:val="clear" w:color="000000" w:fill="FFFF00"/>
            <w:noWrap/>
            <w:vAlign w:val="center"/>
            <w:hideMark/>
          </w:tcPr>
          <w:p w14:paraId="1352B84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nil"/>
              <w:left w:val="nil"/>
              <w:bottom w:val="nil"/>
              <w:right w:val="single" w:sz="4" w:space="0" w:color="auto"/>
            </w:tcBorders>
            <w:shd w:val="clear" w:color="000000" w:fill="FFFF00"/>
            <w:noWrap/>
            <w:vAlign w:val="center"/>
            <w:hideMark/>
          </w:tcPr>
          <w:p w14:paraId="6773D6B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nil"/>
              <w:left w:val="nil"/>
              <w:bottom w:val="nil"/>
              <w:right w:val="single" w:sz="4" w:space="0" w:color="auto"/>
            </w:tcBorders>
            <w:shd w:val="clear" w:color="000000" w:fill="ED7D31"/>
            <w:noWrap/>
            <w:vAlign w:val="center"/>
            <w:hideMark/>
          </w:tcPr>
          <w:p w14:paraId="6200949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High</w:t>
            </w:r>
          </w:p>
        </w:tc>
      </w:tr>
      <w:tr w:rsidR="00565932" w:rsidRPr="00771E96" w14:paraId="75CD072C" w14:textId="77777777" w:rsidTr="0012000D">
        <w:trPr>
          <w:trHeight w:val="255"/>
        </w:trPr>
        <w:tc>
          <w:tcPr>
            <w:tcW w:w="1843" w:type="dxa"/>
            <w:tcBorders>
              <w:top w:val="nil"/>
              <w:left w:val="single" w:sz="4" w:space="0" w:color="auto"/>
              <w:bottom w:val="single" w:sz="4" w:space="0" w:color="auto"/>
              <w:right w:val="nil"/>
            </w:tcBorders>
            <w:shd w:val="clear" w:color="auto" w:fill="auto"/>
            <w:vAlign w:val="bottom"/>
            <w:hideMark/>
          </w:tcPr>
          <w:p w14:paraId="17E4C048" w14:textId="77777777" w:rsidR="00565932" w:rsidRPr="00771E96" w:rsidRDefault="00565932" w:rsidP="0012000D">
            <w:pPr>
              <w:rPr>
                <w:rFonts w:asciiTheme="minorHAnsi" w:hAnsiTheme="minorHAnsi" w:cstheme="minorHAnsi"/>
                <w:kern w:val="0"/>
              </w:rPr>
            </w:pPr>
            <w:r w:rsidRPr="00771E96">
              <w:rPr>
                <w:rFonts w:asciiTheme="minorHAnsi" w:hAnsiTheme="minorHAnsi" w:cstheme="minorHAnsi"/>
                <w:kern w:val="0"/>
              </w:rPr>
              <w:t>First aid needed</w:t>
            </w:r>
          </w:p>
        </w:tc>
        <w:tc>
          <w:tcPr>
            <w:tcW w:w="1400" w:type="dxa"/>
            <w:tcBorders>
              <w:top w:val="nil"/>
              <w:left w:val="single" w:sz="4" w:space="0" w:color="auto"/>
              <w:bottom w:val="single" w:sz="4" w:space="0" w:color="auto"/>
              <w:right w:val="single" w:sz="4" w:space="0" w:color="auto"/>
            </w:tcBorders>
            <w:shd w:val="clear" w:color="000000" w:fill="A9D08E"/>
            <w:noWrap/>
            <w:vAlign w:val="center"/>
            <w:hideMark/>
          </w:tcPr>
          <w:p w14:paraId="3DB142E1"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A9D08E"/>
            <w:noWrap/>
            <w:vAlign w:val="center"/>
            <w:hideMark/>
          </w:tcPr>
          <w:p w14:paraId="545F7878"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FF00"/>
            <w:noWrap/>
            <w:vAlign w:val="center"/>
            <w:hideMark/>
          </w:tcPr>
          <w:p w14:paraId="6D9D7F6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FF00"/>
            <w:noWrap/>
            <w:vAlign w:val="center"/>
            <w:hideMark/>
          </w:tcPr>
          <w:p w14:paraId="4E2DEDF5"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ED7D31"/>
            <w:noWrap/>
            <w:vAlign w:val="center"/>
            <w:hideMark/>
          </w:tcPr>
          <w:p w14:paraId="530EB1E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r>
      <w:tr w:rsidR="00565932" w:rsidRPr="00771E96" w14:paraId="4D410A6A" w14:textId="77777777" w:rsidTr="0012000D">
        <w:trPr>
          <w:trHeight w:val="255"/>
        </w:trPr>
        <w:tc>
          <w:tcPr>
            <w:tcW w:w="1843" w:type="dxa"/>
            <w:tcBorders>
              <w:top w:val="nil"/>
              <w:left w:val="single" w:sz="4" w:space="0" w:color="auto"/>
              <w:bottom w:val="nil"/>
              <w:right w:val="nil"/>
            </w:tcBorders>
            <w:shd w:val="clear" w:color="auto" w:fill="auto"/>
            <w:vAlign w:val="bottom"/>
            <w:hideMark/>
          </w:tcPr>
          <w:p w14:paraId="55990BA9"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Moderate</w:t>
            </w:r>
          </w:p>
        </w:tc>
        <w:tc>
          <w:tcPr>
            <w:tcW w:w="1400" w:type="dxa"/>
            <w:tcBorders>
              <w:top w:val="nil"/>
              <w:left w:val="single" w:sz="4" w:space="0" w:color="auto"/>
              <w:bottom w:val="nil"/>
              <w:right w:val="single" w:sz="4" w:space="0" w:color="auto"/>
            </w:tcBorders>
            <w:shd w:val="clear" w:color="000000" w:fill="A9D08E"/>
            <w:noWrap/>
            <w:vAlign w:val="center"/>
            <w:hideMark/>
          </w:tcPr>
          <w:p w14:paraId="6B6122C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nil"/>
              <w:left w:val="nil"/>
              <w:bottom w:val="nil"/>
              <w:right w:val="single" w:sz="4" w:space="0" w:color="auto"/>
            </w:tcBorders>
            <w:shd w:val="clear" w:color="000000" w:fill="FFFF00"/>
            <w:noWrap/>
            <w:vAlign w:val="center"/>
            <w:hideMark/>
          </w:tcPr>
          <w:p w14:paraId="08809BC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nil"/>
              <w:left w:val="nil"/>
              <w:bottom w:val="nil"/>
              <w:right w:val="nil"/>
            </w:tcBorders>
            <w:shd w:val="clear" w:color="000000" w:fill="ED7D31"/>
            <w:noWrap/>
            <w:vAlign w:val="center"/>
            <w:hideMark/>
          </w:tcPr>
          <w:p w14:paraId="48E475C2"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High</w:t>
            </w:r>
          </w:p>
        </w:tc>
        <w:tc>
          <w:tcPr>
            <w:tcW w:w="1460" w:type="dxa"/>
            <w:tcBorders>
              <w:top w:val="nil"/>
              <w:left w:val="single" w:sz="4" w:space="0" w:color="auto"/>
              <w:bottom w:val="nil"/>
              <w:right w:val="single" w:sz="4" w:space="0" w:color="auto"/>
            </w:tcBorders>
            <w:shd w:val="clear" w:color="000000" w:fill="ED7D31"/>
            <w:noWrap/>
            <w:vAlign w:val="center"/>
            <w:hideMark/>
          </w:tcPr>
          <w:p w14:paraId="7F867F38"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High</w:t>
            </w:r>
          </w:p>
        </w:tc>
        <w:tc>
          <w:tcPr>
            <w:tcW w:w="1460" w:type="dxa"/>
            <w:tcBorders>
              <w:top w:val="nil"/>
              <w:left w:val="nil"/>
              <w:bottom w:val="nil"/>
              <w:right w:val="single" w:sz="4" w:space="0" w:color="auto"/>
            </w:tcBorders>
            <w:shd w:val="clear" w:color="000000" w:fill="FF3300"/>
            <w:noWrap/>
            <w:vAlign w:val="center"/>
            <w:hideMark/>
          </w:tcPr>
          <w:p w14:paraId="65CB8F30"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Critical</w:t>
            </w:r>
          </w:p>
        </w:tc>
      </w:tr>
      <w:tr w:rsidR="00565932" w:rsidRPr="00771E96" w14:paraId="41285FC6" w14:textId="77777777" w:rsidTr="0012000D">
        <w:trPr>
          <w:trHeight w:val="255"/>
        </w:trPr>
        <w:tc>
          <w:tcPr>
            <w:tcW w:w="1843" w:type="dxa"/>
            <w:tcBorders>
              <w:top w:val="nil"/>
              <w:left w:val="single" w:sz="4" w:space="0" w:color="auto"/>
              <w:bottom w:val="single" w:sz="4" w:space="0" w:color="auto"/>
              <w:right w:val="nil"/>
            </w:tcBorders>
            <w:shd w:val="clear" w:color="auto" w:fill="auto"/>
            <w:vAlign w:val="bottom"/>
            <w:hideMark/>
          </w:tcPr>
          <w:p w14:paraId="53396683" w14:textId="77777777" w:rsidR="00565932" w:rsidRPr="00771E96" w:rsidRDefault="00565932" w:rsidP="0012000D">
            <w:pPr>
              <w:rPr>
                <w:rFonts w:asciiTheme="minorHAnsi" w:hAnsiTheme="minorHAnsi" w:cstheme="minorHAnsi"/>
                <w:kern w:val="0"/>
              </w:rPr>
            </w:pPr>
            <w:r w:rsidRPr="00771E96">
              <w:rPr>
                <w:rFonts w:asciiTheme="minorHAnsi" w:hAnsiTheme="minorHAnsi" w:cstheme="minorHAnsi"/>
                <w:kern w:val="0"/>
              </w:rPr>
              <w:t>Medical treatment</w:t>
            </w:r>
          </w:p>
        </w:tc>
        <w:tc>
          <w:tcPr>
            <w:tcW w:w="1400" w:type="dxa"/>
            <w:tcBorders>
              <w:top w:val="nil"/>
              <w:left w:val="single" w:sz="4" w:space="0" w:color="auto"/>
              <w:bottom w:val="single" w:sz="4" w:space="0" w:color="auto"/>
              <w:right w:val="single" w:sz="4" w:space="0" w:color="auto"/>
            </w:tcBorders>
            <w:shd w:val="clear" w:color="000000" w:fill="A9D08E"/>
            <w:noWrap/>
            <w:vAlign w:val="center"/>
            <w:hideMark/>
          </w:tcPr>
          <w:p w14:paraId="5C1E9FE8"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FF00"/>
            <w:noWrap/>
            <w:vAlign w:val="center"/>
            <w:hideMark/>
          </w:tcPr>
          <w:p w14:paraId="1DE96BD6"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nil"/>
              <w:right w:val="nil"/>
            </w:tcBorders>
            <w:shd w:val="clear" w:color="000000" w:fill="ED7D31"/>
            <w:noWrap/>
            <w:vAlign w:val="center"/>
            <w:hideMark/>
          </w:tcPr>
          <w:p w14:paraId="1EDAC171"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single" w:sz="4" w:space="0" w:color="auto"/>
              <w:bottom w:val="single" w:sz="4" w:space="0" w:color="auto"/>
              <w:right w:val="single" w:sz="4" w:space="0" w:color="auto"/>
            </w:tcBorders>
            <w:shd w:val="clear" w:color="000000" w:fill="ED7D31"/>
            <w:noWrap/>
            <w:vAlign w:val="center"/>
            <w:hideMark/>
          </w:tcPr>
          <w:p w14:paraId="493BD79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3300"/>
            <w:noWrap/>
            <w:vAlign w:val="center"/>
            <w:hideMark/>
          </w:tcPr>
          <w:p w14:paraId="17CA263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r>
      <w:tr w:rsidR="00565932" w:rsidRPr="00771E96" w14:paraId="4FAB6633" w14:textId="77777777" w:rsidTr="0012000D">
        <w:trPr>
          <w:trHeight w:val="255"/>
        </w:trPr>
        <w:tc>
          <w:tcPr>
            <w:tcW w:w="1843" w:type="dxa"/>
            <w:tcBorders>
              <w:top w:val="nil"/>
              <w:left w:val="single" w:sz="4" w:space="0" w:color="auto"/>
              <w:bottom w:val="nil"/>
              <w:right w:val="nil"/>
            </w:tcBorders>
            <w:shd w:val="clear" w:color="auto" w:fill="auto"/>
            <w:vAlign w:val="bottom"/>
            <w:hideMark/>
          </w:tcPr>
          <w:p w14:paraId="44EF0253"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Major</w:t>
            </w:r>
          </w:p>
        </w:tc>
        <w:tc>
          <w:tcPr>
            <w:tcW w:w="1400" w:type="dxa"/>
            <w:tcBorders>
              <w:top w:val="nil"/>
              <w:left w:val="single" w:sz="4" w:space="0" w:color="auto"/>
              <w:bottom w:val="nil"/>
              <w:right w:val="single" w:sz="4" w:space="0" w:color="auto"/>
            </w:tcBorders>
            <w:shd w:val="clear" w:color="000000" w:fill="A9D08E"/>
            <w:noWrap/>
            <w:vAlign w:val="center"/>
            <w:hideMark/>
          </w:tcPr>
          <w:p w14:paraId="20390A5D"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Low</w:t>
            </w:r>
          </w:p>
        </w:tc>
        <w:tc>
          <w:tcPr>
            <w:tcW w:w="1460" w:type="dxa"/>
            <w:tcBorders>
              <w:top w:val="nil"/>
              <w:left w:val="nil"/>
              <w:bottom w:val="nil"/>
              <w:right w:val="single" w:sz="4" w:space="0" w:color="auto"/>
            </w:tcBorders>
            <w:shd w:val="clear" w:color="000000" w:fill="FFFF00"/>
            <w:noWrap/>
            <w:vAlign w:val="center"/>
            <w:hideMark/>
          </w:tcPr>
          <w:p w14:paraId="474F4DF4"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single" w:sz="4" w:space="0" w:color="auto"/>
              <w:left w:val="nil"/>
              <w:bottom w:val="nil"/>
              <w:right w:val="single" w:sz="4" w:space="0" w:color="auto"/>
            </w:tcBorders>
            <w:shd w:val="clear" w:color="000000" w:fill="ED7D31"/>
            <w:noWrap/>
            <w:vAlign w:val="center"/>
            <w:hideMark/>
          </w:tcPr>
          <w:p w14:paraId="486E5E02"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High</w:t>
            </w:r>
          </w:p>
        </w:tc>
        <w:tc>
          <w:tcPr>
            <w:tcW w:w="1460" w:type="dxa"/>
            <w:tcBorders>
              <w:top w:val="nil"/>
              <w:left w:val="nil"/>
              <w:bottom w:val="nil"/>
              <w:right w:val="single" w:sz="4" w:space="0" w:color="auto"/>
            </w:tcBorders>
            <w:shd w:val="clear" w:color="000000" w:fill="FF3300"/>
            <w:noWrap/>
            <w:vAlign w:val="center"/>
            <w:hideMark/>
          </w:tcPr>
          <w:p w14:paraId="4D1960CC"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Critical</w:t>
            </w:r>
          </w:p>
        </w:tc>
        <w:tc>
          <w:tcPr>
            <w:tcW w:w="1460" w:type="dxa"/>
            <w:tcBorders>
              <w:top w:val="nil"/>
              <w:left w:val="nil"/>
              <w:bottom w:val="nil"/>
              <w:right w:val="single" w:sz="4" w:space="0" w:color="auto"/>
            </w:tcBorders>
            <w:shd w:val="clear" w:color="000000" w:fill="C00000"/>
            <w:noWrap/>
            <w:vAlign w:val="center"/>
            <w:hideMark/>
          </w:tcPr>
          <w:p w14:paraId="61A3456E"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Catastrophic</w:t>
            </w:r>
          </w:p>
        </w:tc>
      </w:tr>
      <w:tr w:rsidR="00565932" w:rsidRPr="00771E96" w14:paraId="315C4F35" w14:textId="77777777" w:rsidTr="0012000D">
        <w:trPr>
          <w:trHeight w:val="255"/>
        </w:trPr>
        <w:tc>
          <w:tcPr>
            <w:tcW w:w="1843" w:type="dxa"/>
            <w:tcBorders>
              <w:top w:val="nil"/>
              <w:left w:val="single" w:sz="4" w:space="0" w:color="auto"/>
              <w:bottom w:val="single" w:sz="4" w:space="0" w:color="auto"/>
              <w:right w:val="nil"/>
            </w:tcBorders>
            <w:shd w:val="clear" w:color="auto" w:fill="auto"/>
            <w:vAlign w:val="bottom"/>
            <w:hideMark/>
          </w:tcPr>
          <w:p w14:paraId="7D7C992D" w14:textId="77777777" w:rsidR="00565932" w:rsidRPr="00771E96" w:rsidRDefault="00565932" w:rsidP="0012000D">
            <w:pPr>
              <w:rPr>
                <w:rFonts w:asciiTheme="minorHAnsi" w:hAnsiTheme="minorHAnsi" w:cstheme="minorHAnsi"/>
                <w:kern w:val="0"/>
              </w:rPr>
            </w:pPr>
            <w:r w:rsidRPr="00771E96">
              <w:rPr>
                <w:rFonts w:asciiTheme="minorHAnsi" w:hAnsiTheme="minorHAnsi" w:cstheme="minorHAnsi"/>
                <w:kern w:val="0"/>
              </w:rPr>
              <w:t>Disability/ disease</w:t>
            </w:r>
          </w:p>
        </w:tc>
        <w:tc>
          <w:tcPr>
            <w:tcW w:w="1400" w:type="dxa"/>
            <w:tcBorders>
              <w:top w:val="nil"/>
              <w:left w:val="single" w:sz="4" w:space="0" w:color="auto"/>
              <w:bottom w:val="single" w:sz="4" w:space="0" w:color="auto"/>
              <w:right w:val="single" w:sz="4" w:space="0" w:color="auto"/>
            </w:tcBorders>
            <w:shd w:val="clear" w:color="000000" w:fill="A9D08E"/>
            <w:noWrap/>
            <w:vAlign w:val="center"/>
            <w:hideMark/>
          </w:tcPr>
          <w:p w14:paraId="300D4DB5"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FF00"/>
            <w:noWrap/>
            <w:vAlign w:val="center"/>
            <w:hideMark/>
          </w:tcPr>
          <w:p w14:paraId="096AE40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ED7D31"/>
            <w:noWrap/>
            <w:vAlign w:val="center"/>
            <w:hideMark/>
          </w:tcPr>
          <w:p w14:paraId="64BBDBF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3300"/>
            <w:noWrap/>
            <w:vAlign w:val="center"/>
            <w:hideMark/>
          </w:tcPr>
          <w:p w14:paraId="15F2FF6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C00000"/>
            <w:noWrap/>
            <w:vAlign w:val="center"/>
            <w:hideMark/>
          </w:tcPr>
          <w:p w14:paraId="263DF13C"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 </w:t>
            </w:r>
          </w:p>
        </w:tc>
      </w:tr>
      <w:tr w:rsidR="00565932" w:rsidRPr="00771E96" w14:paraId="7A8F8BC4" w14:textId="77777777" w:rsidTr="0012000D">
        <w:trPr>
          <w:trHeight w:val="255"/>
        </w:trPr>
        <w:tc>
          <w:tcPr>
            <w:tcW w:w="1843" w:type="dxa"/>
            <w:tcBorders>
              <w:top w:val="nil"/>
              <w:left w:val="single" w:sz="4" w:space="0" w:color="auto"/>
              <w:bottom w:val="nil"/>
              <w:right w:val="nil"/>
            </w:tcBorders>
            <w:shd w:val="clear" w:color="auto" w:fill="auto"/>
            <w:vAlign w:val="bottom"/>
            <w:hideMark/>
          </w:tcPr>
          <w:p w14:paraId="3D5777E0" w14:textId="77777777" w:rsidR="00565932" w:rsidRPr="00771E96" w:rsidRDefault="00565932" w:rsidP="0012000D">
            <w:pPr>
              <w:rPr>
                <w:rFonts w:asciiTheme="minorHAnsi" w:hAnsiTheme="minorHAnsi" w:cstheme="minorHAnsi"/>
                <w:b/>
                <w:bCs/>
                <w:kern w:val="0"/>
              </w:rPr>
            </w:pPr>
            <w:r w:rsidRPr="00771E96">
              <w:rPr>
                <w:rFonts w:asciiTheme="minorHAnsi" w:hAnsiTheme="minorHAnsi" w:cstheme="minorHAnsi"/>
                <w:b/>
                <w:bCs/>
                <w:kern w:val="0"/>
              </w:rPr>
              <w:t>Extreme</w:t>
            </w:r>
          </w:p>
        </w:tc>
        <w:tc>
          <w:tcPr>
            <w:tcW w:w="1400" w:type="dxa"/>
            <w:tcBorders>
              <w:top w:val="nil"/>
              <w:left w:val="single" w:sz="4" w:space="0" w:color="auto"/>
              <w:bottom w:val="nil"/>
              <w:right w:val="single" w:sz="4" w:space="0" w:color="auto"/>
            </w:tcBorders>
            <w:shd w:val="clear" w:color="000000" w:fill="FFFF00"/>
            <w:noWrap/>
            <w:vAlign w:val="center"/>
            <w:hideMark/>
          </w:tcPr>
          <w:p w14:paraId="5F9E9B1F"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Moderate</w:t>
            </w:r>
          </w:p>
        </w:tc>
        <w:tc>
          <w:tcPr>
            <w:tcW w:w="1460" w:type="dxa"/>
            <w:tcBorders>
              <w:top w:val="nil"/>
              <w:left w:val="nil"/>
              <w:bottom w:val="nil"/>
              <w:right w:val="single" w:sz="4" w:space="0" w:color="auto"/>
            </w:tcBorders>
            <w:shd w:val="clear" w:color="000000" w:fill="ED7D31"/>
            <w:noWrap/>
            <w:vAlign w:val="center"/>
            <w:hideMark/>
          </w:tcPr>
          <w:p w14:paraId="62B1F0CA"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High</w:t>
            </w:r>
          </w:p>
        </w:tc>
        <w:tc>
          <w:tcPr>
            <w:tcW w:w="1460" w:type="dxa"/>
            <w:tcBorders>
              <w:top w:val="nil"/>
              <w:left w:val="nil"/>
              <w:bottom w:val="nil"/>
              <w:right w:val="single" w:sz="4" w:space="0" w:color="auto"/>
            </w:tcBorders>
            <w:shd w:val="clear" w:color="000000" w:fill="FF3300"/>
            <w:noWrap/>
            <w:vAlign w:val="center"/>
            <w:hideMark/>
          </w:tcPr>
          <w:p w14:paraId="5F6F713D"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Critical</w:t>
            </w:r>
          </w:p>
        </w:tc>
        <w:tc>
          <w:tcPr>
            <w:tcW w:w="1460" w:type="dxa"/>
            <w:tcBorders>
              <w:top w:val="nil"/>
              <w:left w:val="nil"/>
              <w:bottom w:val="nil"/>
              <w:right w:val="single" w:sz="4" w:space="0" w:color="auto"/>
            </w:tcBorders>
            <w:shd w:val="clear" w:color="000000" w:fill="C00000"/>
            <w:noWrap/>
            <w:vAlign w:val="center"/>
            <w:hideMark/>
          </w:tcPr>
          <w:p w14:paraId="515814AA"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Catastrophic</w:t>
            </w:r>
          </w:p>
        </w:tc>
        <w:tc>
          <w:tcPr>
            <w:tcW w:w="1460" w:type="dxa"/>
            <w:tcBorders>
              <w:top w:val="nil"/>
              <w:left w:val="nil"/>
              <w:bottom w:val="nil"/>
              <w:right w:val="single" w:sz="4" w:space="0" w:color="auto"/>
            </w:tcBorders>
            <w:shd w:val="clear" w:color="000000" w:fill="C00000"/>
            <w:noWrap/>
            <w:vAlign w:val="center"/>
            <w:hideMark/>
          </w:tcPr>
          <w:p w14:paraId="3B1D9FFD"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Catastrophic</w:t>
            </w:r>
          </w:p>
        </w:tc>
      </w:tr>
      <w:tr w:rsidR="00565932" w:rsidRPr="00771E96" w14:paraId="466CD76E" w14:textId="77777777" w:rsidTr="0012000D">
        <w:trPr>
          <w:trHeight w:val="255"/>
        </w:trPr>
        <w:tc>
          <w:tcPr>
            <w:tcW w:w="1843" w:type="dxa"/>
            <w:tcBorders>
              <w:top w:val="nil"/>
              <w:left w:val="single" w:sz="4" w:space="0" w:color="auto"/>
              <w:bottom w:val="single" w:sz="4" w:space="0" w:color="auto"/>
              <w:right w:val="nil"/>
            </w:tcBorders>
            <w:shd w:val="clear" w:color="auto" w:fill="auto"/>
            <w:vAlign w:val="bottom"/>
            <w:hideMark/>
          </w:tcPr>
          <w:p w14:paraId="6FF1DCC1" w14:textId="77777777" w:rsidR="00565932" w:rsidRPr="00771E96" w:rsidRDefault="00565932" w:rsidP="0012000D">
            <w:pPr>
              <w:rPr>
                <w:rFonts w:asciiTheme="minorHAnsi" w:hAnsiTheme="minorHAnsi" w:cstheme="minorHAnsi"/>
                <w:kern w:val="0"/>
              </w:rPr>
            </w:pPr>
            <w:r w:rsidRPr="00771E96">
              <w:rPr>
                <w:rFonts w:asciiTheme="minorHAnsi" w:hAnsiTheme="minorHAnsi" w:cstheme="minorHAnsi"/>
                <w:kern w:val="0"/>
              </w:rPr>
              <w:t>Death</w:t>
            </w:r>
          </w:p>
        </w:tc>
        <w:tc>
          <w:tcPr>
            <w:tcW w:w="1400" w:type="dxa"/>
            <w:tcBorders>
              <w:top w:val="nil"/>
              <w:left w:val="single" w:sz="4" w:space="0" w:color="auto"/>
              <w:bottom w:val="single" w:sz="4" w:space="0" w:color="auto"/>
              <w:right w:val="single" w:sz="4" w:space="0" w:color="auto"/>
            </w:tcBorders>
            <w:shd w:val="clear" w:color="000000" w:fill="FFFF00"/>
            <w:noWrap/>
            <w:vAlign w:val="center"/>
            <w:hideMark/>
          </w:tcPr>
          <w:p w14:paraId="2CAED060"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ED7D31"/>
            <w:noWrap/>
            <w:vAlign w:val="center"/>
            <w:hideMark/>
          </w:tcPr>
          <w:p w14:paraId="497CBAE1"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FF3300"/>
            <w:noWrap/>
            <w:vAlign w:val="center"/>
            <w:hideMark/>
          </w:tcPr>
          <w:p w14:paraId="511A38EE" w14:textId="77777777" w:rsidR="00565932" w:rsidRPr="00771E96" w:rsidRDefault="00565932" w:rsidP="0012000D">
            <w:pPr>
              <w:jc w:val="center"/>
              <w:rPr>
                <w:rFonts w:asciiTheme="minorHAnsi" w:hAnsiTheme="minorHAnsi" w:cstheme="minorHAnsi"/>
                <w:b/>
                <w:bCs/>
                <w:kern w:val="0"/>
              </w:rPr>
            </w:pPr>
            <w:r w:rsidRPr="00771E96">
              <w:rPr>
                <w:rFonts w:asciiTheme="minorHAnsi" w:hAnsiTheme="minorHAnsi" w:cstheme="minorHAnsi"/>
                <w:b/>
                <w:bCs/>
                <w:kern w:val="0"/>
              </w:rPr>
              <w:t> </w:t>
            </w:r>
          </w:p>
        </w:tc>
        <w:tc>
          <w:tcPr>
            <w:tcW w:w="1460" w:type="dxa"/>
            <w:tcBorders>
              <w:top w:val="nil"/>
              <w:left w:val="nil"/>
              <w:bottom w:val="single" w:sz="4" w:space="0" w:color="auto"/>
              <w:right w:val="single" w:sz="4" w:space="0" w:color="auto"/>
            </w:tcBorders>
            <w:shd w:val="clear" w:color="000000" w:fill="C00000"/>
            <w:noWrap/>
            <w:vAlign w:val="center"/>
            <w:hideMark/>
          </w:tcPr>
          <w:p w14:paraId="7606F194"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 </w:t>
            </w:r>
          </w:p>
        </w:tc>
        <w:tc>
          <w:tcPr>
            <w:tcW w:w="1460" w:type="dxa"/>
            <w:tcBorders>
              <w:top w:val="nil"/>
              <w:left w:val="nil"/>
              <w:bottom w:val="single" w:sz="4" w:space="0" w:color="auto"/>
              <w:right w:val="single" w:sz="4" w:space="0" w:color="auto"/>
            </w:tcBorders>
            <w:shd w:val="clear" w:color="000000" w:fill="C00000"/>
            <w:noWrap/>
            <w:vAlign w:val="center"/>
            <w:hideMark/>
          </w:tcPr>
          <w:p w14:paraId="036EA2EC" w14:textId="77777777" w:rsidR="00565932" w:rsidRPr="00771E96" w:rsidRDefault="00565932" w:rsidP="0012000D">
            <w:pPr>
              <w:jc w:val="center"/>
              <w:rPr>
                <w:rFonts w:asciiTheme="minorHAnsi" w:hAnsiTheme="minorHAnsi" w:cstheme="minorHAnsi"/>
                <w:b/>
                <w:bCs/>
                <w:color w:val="FFFFFF"/>
                <w:kern w:val="0"/>
              </w:rPr>
            </w:pPr>
            <w:r w:rsidRPr="00771E96">
              <w:rPr>
                <w:rFonts w:asciiTheme="minorHAnsi" w:hAnsiTheme="minorHAnsi" w:cstheme="minorHAnsi"/>
                <w:b/>
                <w:bCs/>
                <w:color w:val="FFFFFF"/>
                <w:kern w:val="0"/>
              </w:rPr>
              <w:t> </w:t>
            </w:r>
          </w:p>
        </w:tc>
      </w:tr>
    </w:tbl>
    <w:p w14:paraId="58916A6E" w14:textId="77777777" w:rsidR="00565932" w:rsidRPr="00771E96" w:rsidRDefault="00565932" w:rsidP="00565932">
      <w:pPr>
        <w:rPr>
          <w:rFonts w:asciiTheme="minorHAnsi" w:hAnsiTheme="minorHAnsi" w:cstheme="minorHAnsi"/>
          <w:sz w:val="22"/>
          <w:szCs w:val="22"/>
        </w:rPr>
      </w:pPr>
    </w:p>
    <w:p w14:paraId="5DACE523" w14:textId="77777777" w:rsidR="00565932" w:rsidRPr="00771E96" w:rsidRDefault="00565932" w:rsidP="00565932">
      <w:pPr>
        <w:rPr>
          <w:rFonts w:asciiTheme="minorHAnsi" w:hAnsiTheme="minorHAnsi" w:cstheme="minorHAnsi"/>
          <w:sz w:val="22"/>
          <w:szCs w:val="22"/>
        </w:rPr>
      </w:pPr>
    </w:p>
    <w:p w14:paraId="4CDF4E20"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The risk rating will indicate the urgency of the action required as follows:</w:t>
      </w:r>
    </w:p>
    <w:p w14:paraId="2DC4F65F" w14:textId="77777777" w:rsidR="00565932" w:rsidRPr="00771E96" w:rsidRDefault="00565932" w:rsidP="00565932">
      <w:pPr>
        <w:rPr>
          <w:rFonts w:asciiTheme="minorHAnsi" w:hAnsiTheme="minorHAnsi" w:cstheme="minorHAnsi"/>
          <w:sz w:val="22"/>
          <w:szCs w:val="22"/>
        </w:rPr>
      </w:pPr>
    </w:p>
    <w:tbl>
      <w:tblPr>
        <w:tblW w:w="0" w:type="auto"/>
        <w:tblLook w:val="04A0" w:firstRow="1" w:lastRow="0" w:firstColumn="1" w:lastColumn="0" w:noHBand="0" w:noVBand="1"/>
      </w:tblPr>
      <w:tblGrid>
        <w:gridCol w:w="1809"/>
        <w:gridCol w:w="6345"/>
      </w:tblGrid>
      <w:tr w:rsidR="00565932" w:rsidRPr="00771E96" w14:paraId="164ACF37" w14:textId="77777777" w:rsidTr="0012000D">
        <w:tc>
          <w:tcPr>
            <w:tcW w:w="1809" w:type="dxa"/>
            <w:shd w:val="clear" w:color="auto" w:fill="auto"/>
          </w:tcPr>
          <w:p w14:paraId="782C5EB2"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Low:</w:t>
            </w:r>
          </w:p>
        </w:tc>
        <w:tc>
          <w:tcPr>
            <w:tcW w:w="6345" w:type="dxa"/>
            <w:shd w:val="clear" w:color="auto" w:fill="auto"/>
          </w:tcPr>
          <w:p w14:paraId="5939B7BE"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No further action required, review periodically</w:t>
            </w:r>
          </w:p>
        </w:tc>
      </w:tr>
      <w:tr w:rsidR="00565932" w:rsidRPr="00771E96" w14:paraId="7AFC8C90" w14:textId="77777777" w:rsidTr="0012000D">
        <w:tc>
          <w:tcPr>
            <w:tcW w:w="1809" w:type="dxa"/>
            <w:shd w:val="clear" w:color="auto" w:fill="auto"/>
          </w:tcPr>
          <w:p w14:paraId="4EFC26A1"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Moderate:</w:t>
            </w:r>
          </w:p>
        </w:tc>
        <w:tc>
          <w:tcPr>
            <w:tcW w:w="6345" w:type="dxa"/>
            <w:shd w:val="clear" w:color="auto" w:fill="auto"/>
          </w:tcPr>
          <w:p w14:paraId="3A62CA6D"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Action required to minimise the risk, review periodically</w:t>
            </w:r>
          </w:p>
        </w:tc>
      </w:tr>
      <w:tr w:rsidR="00565932" w:rsidRPr="00771E96" w14:paraId="57AE157A" w14:textId="77777777" w:rsidTr="0012000D">
        <w:tc>
          <w:tcPr>
            <w:tcW w:w="1809" w:type="dxa"/>
            <w:shd w:val="clear" w:color="auto" w:fill="auto"/>
          </w:tcPr>
          <w:p w14:paraId="45A96FC4"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High:</w:t>
            </w:r>
          </w:p>
        </w:tc>
        <w:tc>
          <w:tcPr>
            <w:tcW w:w="6345" w:type="dxa"/>
            <w:shd w:val="clear" w:color="auto" w:fill="auto"/>
          </w:tcPr>
          <w:p w14:paraId="10318AFF"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Action required to minimise the risk, review continuously</w:t>
            </w:r>
          </w:p>
        </w:tc>
      </w:tr>
      <w:tr w:rsidR="00565932" w:rsidRPr="00771E96" w14:paraId="7A344982" w14:textId="77777777" w:rsidTr="0012000D">
        <w:tc>
          <w:tcPr>
            <w:tcW w:w="1809" w:type="dxa"/>
            <w:shd w:val="clear" w:color="auto" w:fill="auto"/>
          </w:tcPr>
          <w:p w14:paraId="4C7AD60A"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Critical:</w:t>
            </w:r>
          </w:p>
        </w:tc>
        <w:tc>
          <w:tcPr>
            <w:tcW w:w="6345" w:type="dxa"/>
            <w:shd w:val="clear" w:color="auto" w:fill="auto"/>
          </w:tcPr>
          <w:p w14:paraId="1F722CFB"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Immediate action required to minimise the risk</w:t>
            </w:r>
          </w:p>
        </w:tc>
      </w:tr>
      <w:tr w:rsidR="00565932" w:rsidRPr="00771E96" w14:paraId="25DC9A63" w14:textId="77777777" w:rsidTr="0012000D">
        <w:tc>
          <w:tcPr>
            <w:tcW w:w="1809" w:type="dxa"/>
            <w:shd w:val="clear" w:color="auto" w:fill="auto"/>
          </w:tcPr>
          <w:p w14:paraId="42F50680"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Catastrophic:</w:t>
            </w:r>
          </w:p>
        </w:tc>
        <w:tc>
          <w:tcPr>
            <w:tcW w:w="6345" w:type="dxa"/>
            <w:shd w:val="clear" w:color="auto" w:fill="auto"/>
          </w:tcPr>
          <w:p w14:paraId="4D072328" w14:textId="77777777" w:rsidR="00565932" w:rsidRPr="00771E96" w:rsidRDefault="00565932" w:rsidP="0012000D">
            <w:pPr>
              <w:jc w:val="both"/>
              <w:rPr>
                <w:rFonts w:asciiTheme="minorHAnsi" w:hAnsiTheme="minorHAnsi" w:cstheme="minorHAnsi"/>
              </w:rPr>
            </w:pPr>
            <w:r w:rsidRPr="00771E96">
              <w:rPr>
                <w:rFonts w:asciiTheme="minorHAnsi" w:hAnsiTheme="minorHAnsi" w:cstheme="minorHAnsi"/>
                <w:sz w:val="22"/>
                <w:szCs w:val="22"/>
              </w:rPr>
              <w:t>Urgent action required to minimise the risk</w:t>
            </w:r>
          </w:p>
        </w:tc>
      </w:tr>
    </w:tbl>
    <w:p w14:paraId="1B1B8E2D" w14:textId="77777777" w:rsidR="00565932" w:rsidRPr="00771E96" w:rsidRDefault="00565932" w:rsidP="00565932">
      <w:pPr>
        <w:rPr>
          <w:rFonts w:asciiTheme="minorHAnsi" w:hAnsiTheme="minorHAnsi" w:cstheme="minorHAnsi"/>
          <w:sz w:val="22"/>
          <w:szCs w:val="22"/>
        </w:rPr>
      </w:pPr>
    </w:p>
    <w:p w14:paraId="0B2A0F65" w14:textId="77777777" w:rsidR="00565932" w:rsidRPr="00771E96" w:rsidRDefault="00565932" w:rsidP="009F1292">
      <w:pPr>
        <w:pStyle w:val="Heading4"/>
        <w:rPr>
          <w:rFonts w:asciiTheme="minorHAnsi" w:hAnsiTheme="minorHAnsi" w:cstheme="minorHAnsi"/>
        </w:rPr>
      </w:pPr>
      <w:r w:rsidRPr="00771E96">
        <w:rPr>
          <w:rFonts w:asciiTheme="minorHAnsi" w:hAnsiTheme="minorHAnsi" w:cstheme="minorHAnsi"/>
        </w:rPr>
        <w:br w:type="page"/>
      </w:r>
      <w:bookmarkStart w:id="15" w:name="_Toc64283005"/>
      <w:r w:rsidRPr="00771E96">
        <w:rPr>
          <w:rFonts w:asciiTheme="minorHAnsi" w:hAnsiTheme="minorHAnsi" w:cstheme="minorHAnsi"/>
        </w:rPr>
        <w:lastRenderedPageBreak/>
        <w:t>The Hierarchy of Risk Control</w:t>
      </w:r>
      <w:bookmarkEnd w:id="15"/>
    </w:p>
    <w:p w14:paraId="679D4E43" w14:textId="77777777" w:rsidR="00565932" w:rsidRPr="00771E96" w:rsidRDefault="00565932" w:rsidP="00565932">
      <w:pPr>
        <w:rPr>
          <w:rFonts w:asciiTheme="minorHAnsi" w:hAnsiTheme="minorHAnsi" w:cstheme="minorHAnsi"/>
          <w:sz w:val="22"/>
          <w:szCs w:val="22"/>
        </w:rPr>
      </w:pPr>
    </w:p>
    <w:p w14:paraId="18D03F80"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Once the hazards and the associated risks are known, appropriate controls need to be implemented. The hierarchy of risk control can provide you with a system to identify the appropriate control method:</w:t>
      </w:r>
    </w:p>
    <w:p w14:paraId="0820DF34" w14:textId="77777777" w:rsidR="00565932" w:rsidRPr="00771E96" w:rsidRDefault="00565932" w:rsidP="00565932">
      <w:pPr>
        <w:rPr>
          <w:rFonts w:asciiTheme="minorHAnsi" w:hAnsiTheme="minorHAnsi" w:cstheme="minorHAnsi"/>
          <w:sz w:val="22"/>
          <w:szCs w:val="22"/>
        </w:rPr>
      </w:pPr>
    </w:p>
    <w:p w14:paraId="701F8F3A"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Elimination: the most effective method of reducing risk involves removing the risk from the workplace. It is not always possible to remove the risk entirely.</w:t>
      </w:r>
    </w:p>
    <w:p w14:paraId="05C68CE6" w14:textId="77777777" w:rsidR="00565932" w:rsidRPr="00771E96" w:rsidRDefault="00565932" w:rsidP="00565932">
      <w:pPr>
        <w:pStyle w:val="ListParagraph"/>
        <w:pBdr>
          <w:top w:val="nil"/>
          <w:left w:val="nil"/>
          <w:bottom w:val="nil"/>
          <w:right w:val="nil"/>
          <w:between w:val="nil"/>
        </w:pBdr>
        <w:rPr>
          <w:rFonts w:asciiTheme="minorHAnsi" w:hAnsiTheme="minorHAnsi" w:cstheme="minorHAnsi"/>
        </w:rPr>
      </w:pPr>
    </w:p>
    <w:p w14:paraId="2D180B87"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Substitution: the second most effective method of control involves replacing the object or activity with something that does not constitute a risk. An example would be replacing lead paint with a non-lead based paint.</w:t>
      </w:r>
    </w:p>
    <w:p w14:paraId="0E7F07D2" w14:textId="77777777" w:rsidR="00565932" w:rsidRPr="00771E96" w:rsidRDefault="00565932" w:rsidP="00565932">
      <w:pPr>
        <w:pStyle w:val="ListParagraph"/>
        <w:pBdr>
          <w:top w:val="nil"/>
          <w:left w:val="nil"/>
          <w:bottom w:val="nil"/>
          <w:right w:val="nil"/>
          <w:between w:val="nil"/>
        </w:pBdr>
        <w:ind w:left="0"/>
        <w:rPr>
          <w:rFonts w:asciiTheme="minorHAnsi" w:hAnsiTheme="minorHAnsi" w:cstheme="minorHAnsi"/>
        </w:rPr>
      </w:pPr>
    </w:p>
    <w:p w14:paraId="3A5BCB98"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Isolation: this involves separating the hazard from employees or the public. This can be achieved by erecting barriers or locating hazardous materials away from general work spaces.</w:t>
      </w:r>
    </w:p>
    <w:p w14:paraId="6E9E6AEB" w14:textId="77777777" w:rsidR="00565932" w:rsidRPr="00771E96" w:rsidRDefault="00565932" w:rsidP="00565932">
      <w:pPr>
        <w:pStyle w:val="ListParagraph"/>
        <w:pBdr>
          <w:top w:val="nil"/>
          <w:left w:val="nil"/>
          <w:bottom w:val="nil"/>
          <w:right w:val="nil"/>
          <w:between w:val="nil"/>
        </w:pBdr>
        <w:ind w:left="0"/>
        <w:rPr>
          <w:rFonts w:asciiTheme="minorHAnsi" w:hAnsiTheme="minorHAnsi" w:cstheme="minorHAnsi"/>
        </w:rPr>
      </w:pPr>
    </w:p>
    <w:p w14:paraId="4E78BE5E"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Engineering: involves changing the equipment or activity to reduce the risk, such as adding safeguards to machinery.</w:t>
      </w:r>
    </w:p>
    <w:p w14:paraId="092C05E0" w14:textId="77777777" w:rsidR="00565932" w:rsidRPr="00771E96" w:rsidRDefault="00565932" w:rsidP="00565932">
      <w:pPr>
        <w:pStyle w:val="ListParagraph"/>
        <w:pBdr>
          <w:top w:val="nil"/>
          <w:left w:val="nil"/>
          <w:bottom w:val="nil"/>
          <w:right w:val="nil"/>
          <w:between w:val="nil"/>
        </w:pBdr>
        <w:rPr>
          <w:rFonts w:asciiTheme="minorHAnsi" w:hAnsiTheme="minorHAnsi" w:cstheme="minorHAnsi"/>
        </w:rPr>
      </w:pPr>
    </w:p>
    <w:p w14:paraId="78EA2129"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Administrative: includes changing or updating work procedures, installing warning signs or undertaking training.</w:t>
      </w:r>
    </w:p>
    <w:p w14:paraId="49072A57" w14:textId="77777777" w:rsidR="00565932" w:rsidRPr="00771E96" w:rsidRDefault="00565932" w:rsidP="00565932">
      <w:pPr>
        <w:pStyle w:val="ListParagraph"/>
        <w:pBdr>
          <w:top w:val="nil"/>
          <w:left w:val="nil"/>
          <w:bottom w:val="nil"/>
          <w:right w:val="nil"/>
          <w:between w:val="nil"/>
        </w:pBdr>
        <w:rPr>
          <w:rFonts w:asciiTheme="minorHAnsi" w:hAnsiTheme="minorHAnsi" w:cstheme="minorHAnsi"/>
        </w:rPr>
      </w:pPr>
    </w:p>
    <w:p w14:paraId="32F01C9B" w14:textId="77777777" w:rsidR="00565932" w:rsidRPr="00771E96" w:rsidRDefault="00565932" w:rsidP="00565932">
      <w:pPr>
        <w:pStyle w:val="ListParagraph"/>
        <w:numPr>
          <w:ilvl w:val="0"/>
          <w:numId w:val="8"/>
        </w:numPr>
        <w:pBdr>
          <w:top w:val="nil"/>
          <w:left w:val="nil"/>
          <w:bottom w:val="nil"/>
          <w:right w:val="nil"/>
          <w:between w:val="nil"/>
        </w:pBdr>
        <w:rPr>
          <w:rFonts w:asciiTheme="minorHAnsi" w:hAnsiTheme="minorHAnsi" w:cstheme="minorHAnsi"/>
        </w:rPr>
      </w:pPr>
      <w:r w:rsidRPr="00771E96">
        <w:rPr>
          <w:rFonts w:asciiTheme="minorHAnsi" w:hAnsiTheme="minorHAnsi" w:cstheme="minorHAnsi"/>
        </w:rPr>
        <w:t>Personal Protective Equipment: in situations where the risk cannot be reduced by other means, workers should minimise any potential consequences by utilising protective clothing and equipment, such as safety glasses, harnesses or high-visibility clothing. This is the least effective method of risk control.</w:t>
      </w:r>
    </w:p>
    <w:p w14:paraId="40862759" w14:textId="77777777" w:rsidR="00565932" w:rsidRPr="00771E96" w:rsidRDefault="00565932" w:rsidP="00565932">
      <w:pPr>
        <w:rPr>
          <w:rFonts w:asciiTheme="minorHAnsi" w:hAnsiTheme="minorHAnsi" w:cstheme="minorHAnsi"/>
          <w:sz w:val="22"/>
          <w:szCs w:val="22"/>
        </w:rPr>
      </w:pPr>
    </w:p>
    <w:p w14:paraId="75A04E48" w14:textId="77777777" w:rsidR="00DD224B" w:rsidRDefault="00DD224B" w:rsidP="00DD224B">
      <w:pPr>
        <w:spacing w:after="160" w:line="259" w:lineRule="auto"/>
        <w:rPr>
          <w:rFonts w:ascii="Segoe UI" w:eastAsia="Segoe UI" w:hAnsi="Segoe UI"/>
          <w:color w:val="auto"/>
          <w:kern w:val="0"/>
          <w:sz w:val="22"/>
          <w:szCs w:val="22"/>
        </w:rPr>
      </w:pPr>
      <w:r>
        <w:rPr>
          <w:rFonts w:ascii="Segoe UI" w:eastAsia="Segoe UI" w:hAnsi="Segoe UI"/>
          <w:color w:val="auto"/>
          <w:kern w:val="0"/>
          <w:sz w:val="22"/>
          <w:szCs w:val="22"/>
        </w:rPr>
        <w:br/>
      </w:r>
    </w:p>
    <w:p w14:paraId="21E80EE7" w14:textId="77777777" w:rsidR="00DD224B" w:rsidRDefault="00DD224B">
      <w:pPr>
        <w:spacing w:after="160" w:line="259" w:lineRule="auto"/>
        <w:rPr>
          <w:rFonts w:ascii="Segoe UI" w:eastAsia="Segoe UI" w:hAnsi="Segoe UI"/>
          <w:color w:val="auto"/>
          <w:kern w:val="0"/>
          <w:sz w:val="22"/>
          <w:szCs w:val="22"/>
        </w:rPr>
      </w:pPr>
      <w:r>
        <w:rPr>
          <w:rFonts w:ascii="Segoe UI" w:eastAsia="Segoe UI" w:hAnsi="Segoe UI"/>
          <w:color w:val="auto"/>
          <w:kern w:val="0"/>
          <w:sz w:val="22"/>
          <w:szCs w:val="22"/>
        </w:rPr>
        <w:br w:type="page"/>
      </w:r>
    </w:p>
    <w:p w14:paraId="5E907960" w14:textId="77777777" w:rsidR="00DD224B" w:rsidRDefault="00DD224B" w:rsidP="00DD224B">
      <w:pPr>
        <w:rPr>
          <w:rFonts w:asciiTheme="minorHAnsi" w:hAnsiTheme="minorHAnsi" w:cstheme="minorHAnsi"/>
          <w:sz w:val="22"/>
          <w:szCs w:val="22"/>
        </w:rPr>
      </w:pPr>
      <w:r w:rsidRPr="00DD224B">
        <w:rPr>
          <w:rFonts w:asciiTheme="minorHAnsi" w:hAnsiTheme="minorHAnsi" w:cstheme="minorHAnsi"/>
          <w:sz w:val="22"/>
          <w:szCs w:val="22"/>
        </w:rPr>
        <w:lastRenderedPageBreak/>
        <w:t>Safe Work Australia identifies the following way as the best way of using the hierarchy of control.</w:t>
      </w:r>
    </w:p>
    <w:p w14:paraId="678D4053" w14:textId="77777777" w:rsidR="00DD224B" w:rsidRDefault="00DD224B" w:rsidP="00DD224B">
      <w:pPr>
        <w:rPr>
          <w:rFonts w:asciiTheme="minorHAnsi" w:hAnsiTheme="minorHAnsi" w:cstheme="minorHAnsi"/>
          <w:sz w:val="22"/>
          <w:szCs w:val="22"/>
        </w:rPr>
      </w:pPr>
    </w:p>
    <w:p w14:paraId="30E991EF" w14:textId="77777777" w:rsidR="00DD224B" w:rsidRPr="00DD224B" w:rsidRDefault="00DD224B" w:rsidP="00DD224B">
      <w:pPr>
        <w:rPr>
          <w:rFonts w:asciiTheme="minorHAnsi" w:hAnsiTheme="minorHAnsi" w:cstheme="minorHAnsi"/>
          <w:sz w:val="22"/>
          <w:szCs w:val="22"/>
        </w:rPr>
      </w:pPr>
    </w:p>
    <w:p w14:paraId="0B90593E" w14:textId="77777777" w:rsidR="00DD224B" w:rsidRPr="00DD224B" w:rsidRDefault="00DD224B" w:rsidP="00DD224B">
      <w:pPr>
        <w:spacing w:after="160" w:line="259" w:lineRule="auto"/>
        <w:jc w:val="center"/>
        <w:rPr>
          <w:rFonts w:ascii="Segoe UI" w:eastAsia="Segoe UI" w:hAnsi="Segoe UI"/>
          <w:color w:val="auto"/>
          <w:kern w:val="0"/>
          <w:sz w:val="22"/>
          <w:szCs w:val="22"/>
        </w:rPr>
      </w:pPr>
      <w:r w:rsidRPr="00DD224B">
        <w:rPr>
          <w:rFonts w:ascii="Segoe UI" w:eastAsia="Segoe UI" w:hAnsi="Segoe UI"/>
          <w:noProof/>
          <w:color w:val="auto"/>
          <w:kern w:val="0"/>
          <w:sz w:val="22"/>
          <w:szCs w:val="22"/>
        </w:rPr>
        <w:drawing>
          <wp:inline distT="0" distB="0" distL="0" distR="0" wp14:anchorId="76F6FDA1" wp14:editId="7C6D13BA">
            <wp:extent cx="5534025" cy="5724525"/>
            <wp:effectExtent l="19050" t="19050" r="28575" b="28575"/>
            <wp:docPr id="2" name="image23.png" descr="Identify, assess and control hazards | Safe Work Australia"/>
            <wp:cNvGraphicFramePr/>
            <a:graphic xmlns:a="http://schemas.openxmlformats.org/drawingml/2006/main">
              <a:graphicData uri="http://schemas.openxmlformats.org/drawingml/2006/picture">
                <pic:pic xmlns:pic="http://schemas.openxmlformats.org/drawingml/2006/picture">
                  <pic:nvPicPr>
                    <pic:cNvPr id="0" name="image23.png" descr="Identify, assess and control hazards | Safe Work Australia"/>
                    <pic:cNvPicPr preferRelativeResize="0"/>
                  </pic:nvPicPr>
                  <pic:blipFill>
                    <a:blip r:embed="rId18"/>
                    <a:srcRect/>
                    <a:stretch>
                      <a:fillRect/>
                    </a:stretch>
                  </pic:blipFill>
                  <pic:spPr>
                    <a:xfrm>
                      <a:off x="0" y="0"/>
                      <a:ext cx="5536123" cy="5726695"/>
                    </a:xfrm>
                    <a:prstGeom prst="rect">
                      <a:avLst/>
                    </a:prstGeom>
                    <a:ln>
                      <a:solidFill>
                        <a:schemeClr val="bg1">
                          <a:lumMod val="50000"/>
                        </a:schemeClr>
                      </a:solidFill>
                    </a:ln>
                  </pic:spPr>
                </pic:pic>
              </a:graphicData>
            </a:graphic>
          </wp:inline>
        </w:drawing>
      </w:r>
    </w:p>
    <w:p w14:paraId="3BBC43B7" w14:textId="77777777" w:rsidR="00DD224B" w:rsidRDefault="00DD224B" w:rsidP="00565932">
      <w:pPr>
        <w:rPr>
          <w:rFonts w:asciiTheme="minorHAnsi" w:hAnsiTheme="minorHAnsi" w:cstheme="minorHAnsi"/>
          <w:sz w:val="22"/>
          <w:szCs w:val="22"/>
        </w:rPr>
      </w:pPr>
    </w:p>
    <w:p w14:paraId="407E930E" w14:textId="77777777" w:rsidR="00DD224B" w:rsidRDefault="00DD224B" w:rsidP="00565932">
      <w:pPr>
        <w:rPr>
          <w:rFonts w:asciiTheme="minorHAnsi" w:hAnsiTheme="minorHAnsi" w:cstheme="minorHAnsi"/>
          <w:sz w:val="22"/>
          <w:szCs w:val="22"/>
        </w:rPr>
      </w:pPr>
    </w:p>
    <w:p w14:paraId="52DC562D" w14:textId="77777777" w:rsidR="00565932" w:rsidRPr="00771E96" w:rsidRDefault="00565932" w:rsidP="00565932">
      <w:pPr>
        <w:rPr>
          <w:rFonts w:asciiTheme="minorHAnsi" w:hAnsiTheme="minorHAnsi" w:cstheme="minorHAnsi"/>
          <w:sz w:val="22"/>
          <w:szCs w:val="22"/>
        </w:rPr>
      </w:pPr>
      <w:r w:rsidRPr="00771E96">
        <w:rPr>
          <w:rFonts w:asciiTheme="minorHAnsi" w:hAnsiTheme="minorHAnsi" w:cstheme="minorHAnsi"/>
          <w:sz w:val="22"/>
          <w:szCs w:val="22"/>
        </w:rPr>
        <w:t>For more information about how to eliminate or minimise workplace risks, refer to the model Code of Practice:</w:t>
      </w:r>
      <w:r w:rsidRPr="00771E96">
        <w:rPr>
          <w:rFonts w:asciiTheme="minorHAnsi" w:hAnsiTheme="minorHAnsi" w:cstheme="minorHAnsi"/>
          <w:i/>
          <w:sz w:val="22"/>
          <w:szCs w:val="22"/>
        </w:rPr>
        <w:t xml:space="preserve"> How to manage work health and safety risks</w:t>
      </w:r>
      <w:r w:rsidRPr="00771E96">
        <w:rPr>
          <w:rFonts w:asciiTheme="minorHAnsi" w:hAnsiTheme="minorHAnsi" w:cstheme="minorHAnsi"/>
          <w:sz w:val="22"/>
          <w:szCs w:val="22"/>
        </w:rPr>
        <w:t>.</w:t>
      </w:r>
    </w:p>
    <w:p w14:paraId="69E2F13C" w14:textId="77777777" w:rsidR="007D2FCD" w:rsidRDefault="007D2FCD">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24D726C" w14:textId="77777777" w:rsidR="00565932" w:rsidRDefault="007D2FCD" w:rsidP="007D2FCD">
      <w:pPr>
        <w:pStyle w:val="Heading4"/>
        <w:rPr>
          <w:rFonts w:asciiTheme="minorHAnsi" w:hAnsiTheme="minorHAnsi" w:cstheme="minorHAnsi"/>
        </w:rPr>
      </w:pPr>
      <w:bookmarkStart w:id="16" w:name="_Toc64283006"/>
      <w:r w:rsidRPr="007D2FCD">
        <w:rPr>
          <w:rFonts w:asciiTheme="minorHAnsi" w:hAnsiTheme="minorHAnsi" w:cstheme="minorHAnsi"/>
        </w:rPr>
        <w:lastRenderedPageBreak/>
        <w:t>Worker</w:t>
      </w:r>
      <w:r w:rsidR="00480781">
        <w:rPr>
          <w:rFonts w:asciiTheme="minorHAnsi" w:hAnsiTheme="minorHAnsi" w:cstheme="minorHAnsi"/>
        </w:rPr>
        <w:t>’s</w:t>
      </w:r>
      <w:r w:rsidRPr="007D2FCD">
        <w:rPr>
          <w:rFonts w:asciiTheme="minorHAnsi" w:hAnsiTheme="minorHAnsi" w:cstheme="minorHAnsi"/>
        </w:rPr>
        <w:t xml:space="preserve"> </w:t>
      </w:r>
      <w:r w:rsidR="006E10A4">
        <w:rPr>
          <w:rFonts w:asciiTheme="minorHAnsi" w:hAnsiTheme="minorHAnsi" w:cstheme="minorHAnsi"/>
        </w:rPr>
        <w:t>R</w:t>
      </w:r>
      <w:r w:rsidRPr="007D2FCD">
        <w:rPr>
          <w:rFonts w:asciiTheme="minorHAnsi" w:hAnsiTheme="minorHAnsi" w:cstheme="minorHAnsi"/>
        </w:rPr>
        <w:t xml:space="preserve">ights under WHS </w:t>
      </w:r>
      <w:r w:rsidR="006E10A4">
        <w:rPr>
          <w:rFonts w:asciiTheme="minorHAnsi" w:hAnsiTheme="minorHAnsi" w:cstheme="minorHAnsi"/>
        </w:rPr>
        <w:t>L</w:t>
      </w:r>
      <w:r w:rsidRPr="007D2FCD">
        <w:rPr>
          <w:rFonts w:asciiTheme="minorHAnsi" w:hAnsiTheme="minorHAnsi" w:cstheme="minorHAnsi"/>
        </w:rPr>
        <w:t>aws</w:t>
      </w:r>
      <w:bookmarkEnd w:id="16"/>
    </w:p>
    <w:p w14:paraId="302B7B18" w14:textId="77777777" w:rsidR="007D2FCD" w:rsidRDefault="007D2FCD" w:rsidP="007D2FCD"/>
    <w:p w14:paraId="0F1E03BD" w14:textId="77777777" w:rsidR="007D2FCD" w:rsidRPr="007D2FCD" w:rsidRDefault="007D2FCD" w:rsidP="007D2FCD">
      <w:pPr>
        <w:rPr>
          <w:rFonts w:asciiTheme="minorHAnsi" w:hAnsiTheme="minorHAnsi" w:cstheme="minorHAnsi"/>
          <w:sz w:val="22"/>
          <w:szCs w:val="22"/>
        </w:rPr>
      </w:pPr>
      <w:r>
        <w:rPr>
          <w:rFonts w:asciiTheme="minorHAnsi" w:hAnsiTheme="minorHAnsi" w:cstheme="minorHAnsi"/>
          <w:sz w:val="22"/>
          <w:szCs w:val="22"/>
        </w:rPr>
        <w:t xml:space="preserve">There are a number of other rights for workers under WHS laws. </w:t>
      </w:r>
      <w:r w:rsidRPr="007D2FCD">
        <w:rPr>
          <w:rFonts w:asciiTheme="minorHAnsi" w:hAnsiTheme="minorHAnsi" w:cstheme="minorHAnsi"/>
          <w:sz w:val="22"/>
          <w:szCs w:val="22"/>
        </w:rPr>
        <w:t>Workers are entitled to: </w:t>
      </w:r>
      <w:r>
        <w:rPr>
          <w:rFonts w:asciiTheme="minorHAnsi" w:hAnsiTheme="minorHAnsi" w:cstheme="minorHAnsi"/>
          <w:sz w:val="22"/>
          <w:szCs w:val="22"/>
        </w:rPr>
        <w:br/>
      </w:r>
    </w:p>
    <w:p w14:paraId="0D823019" w14:textId="77777777" w:rsidR="007D2FCD" w:rsidRPr="007D2FCD" w:rsidRDefault="007D2FCD" w:rsidP="007D2FCD">
      <w:pPr>
        <w:pStyle w:val="ListParagraph"/>
        <w:numPr>
          <w:ilvl w:val="0"/>
          <w:numId w:val="7"/>
        </w:numPr>
        <w:pBdr>
          <w:top w:val="nil"/>
          <w:left w:val="nil"/>
          <w:bottom w:val="nil"/>
          <w:right w:val="nil"/>
          <w:between w:val="nil"/>
        </w:pBdr>
        <w:rPr>
          <w:rFonts w:asciiTheme="minorHAnsi" w:hAnsiTheme="minorHAnsi" w:cstheme="minorHAnsi"/>
        </w:rPr>
      </w:pPr>
      <w:r w:rsidRPr="007D2FCD">
        <w:rPr>
          <w:rFonts w:asciiTheme="minorHAnsi" w:hAnsiTheme="minorHAnsi" w:cstheme="minorHAnsi"/>
        </w:rPr>
        <w:t>elect a health and safety representative (</w:t>
      </w:r>
      <w:hyperlink r:id="rId19" w:anchor="hsr" w:history="1">
        <w:r w:rsidRPr="007D2FCD">
          <w:t>HSR</w:t>
        </w:r>
      </w:hyperlink>
      <w:r w:rsidRPr="007D2FCD">
        <w:rPr>
          <w:rFonts w:asciiTheme="minorHAnsi" w:hAnsiTheme="minorHAnsi" w:cstheme="minorHAnsi"/>
        </w:rPr>
        <w:t>) if they wish to be represented by one </w:t>
      </w:r>
    </w:p>
    <w:p w14:paraId="567BD8AB" w14:textId="77777777" w:rsidR="007D2FCD" w:rsidRPr="007D2FCD" w:rsidRDefault="007D2FCD" w:rsidP="007D2FCD">
      <w:pPr>
        <w:pStyle w:val="ListParagraph"/>
        <w:numPr>
          <w:ilvl w:val="0"/>
          <w:numId w:val="7"/>
        </w:numPr>
        <w:pBdr>
          <w:top w:val="nil"/>
          <w:left w:val="nil"/>
          <w:bottom w:val="nil"/>
          <w:right w:val="nil"/>
          <w:between w:val="nil"/>
        </w:pBdr>
        <w:rPr>
          <w:rFonts w:asciiTheme="minorHAnsi" w:hAnsiTheme="minorHAnsi" w:cstheme="minorHAnsi"/>
        </w:rPr>
      </w:pPr>
      <w:r w:rsidRPr="007D2FCD">
        <w:rPr>
          <w:rFonts w:asciiTheme="minorHAnsi" w:hAnsiTheme="minorHAnsi" w:cstheme="minorHAnsi"/>
        </w:rPr>
        <w:t>request the formation of a health and safety committee </w:t>
      </w:r>
    </w:p>
    <w:p w14:paraId="6833EAB1" w14:textId="77777777" w:rsidR="007D2FCD" w:rsidRPr="007D2FCD" w:rsidRDefault="007D2FCD" w:rsidP="007D2FCD">
      <w:pPr>
        <w:pStyle w:val="ListParagraph"/>
        <w:numPr>
          <w:ilvl w:val="0"/>
          <w:numId w:val="7"/>
        </w:numPr>
        <w:pBdr>
          <w:top w:val="nil"/>
          <w:left w:val="nil"/>
          <w:bottom w:val="nil"/>
          <w:right w:val="nil"/>
          <w:between w:val="nil"/>
        </w:pBdr>
        <w:rPr>
          <w:rFonts w:asciiTheme="minorHAnsi" w:hAnsiTheme="minorHAnsi" w:cstheme="minorHAnsi"/>
        </w:rPr>
      </w:pPr>
      <w:r w:rsidRPr="007D2FCD">
        <w:rPr>
          <w:rFonts w:asciiTheme="minorHAnsi" w:hAnsiTheme="minorHAnsi" w:cstheme="minorHAnsi"/>
        </w:rPr>
        <w:t>cease unsafe work in certain circumstances </w:t>
      </w:r>
    </w:p>
    <w:p w14:paraId="2ABF6896" w14:textId="77777777" w:rsidR="007D2FCD" w:rsidRPr="007D2FCD" w:rsidRDefault="007D2FCD" w:rsidP="007D2FCD">
      <w:pPr>
        <w:pStyle w:val="ListParagraph"/>
        <w:numPr>
          <w:ilvl w:val="0"/>
          <w:numId w:val="7"/>
        </w:numPr>
        <w:pBdr>
          <w:top w:val="nil"/>
          <w:left w:val="nil"/>
          <w:bottom w:val="nil"/>
          <w:right w:val="nil"/>
          <w:between w:val="nil"/>
        </w:pBdr>
        <w:rPr>
          <w:rFonts w:asciiTheme="minorHAnsi" w:hAnsiTheme="minorHAnsi" w:cstheme="minorHAnsi"/>
        </w:rPr>
      </w:pPr>
      <w:r w:rsidRPr="007D2FCD">
        <w:rPr>
          <w:rFonts w:asciiTheme="minorHAnsi" w:hAnsiTheme="minorHAnsi" w:cstheme="minorHAnsi"/>
        </w:rPr>
        <w:t>have health and safety issues at the workplace resolved in accordance with an agreed issue resolution procedure, and </w:t>
      </w:r>
    </w:p>
    <w:p w14:paraId="0C1C05A2" w14:textId="77777777" w:rsidR="007D2FCD" w:rsidRDefault="007D2FCD" w:rsidP="007D2FCD">
      <w:pPr>
        <w:pStyle w:val="ListParagraph"/>
        <w:numPr>
          <w:ilvl w:val="0"/>
          <w:numId w:val="7"/>
        </w:numPr>
        <w:pBdr>
          <w:top w:val="nil"/>
          <w:left w:val="nil"/>
          <w:bottom w:val="nil"/>
          <w:right w:val="nil"/>
          <w:between w:val="nil"/>
        </w:pBdr>
        <w:rPr>
          <w:rFonts w:asciiTheme="minorHAnsi" w:hAnsiTheme="minorHAnsi" w:cstheme="minorHAnsi"/>
        </w:rPr>
      </w:pPr>
      <w:r w:rsidRPr="007D2FCD">
        <w:rPr>
          <w:rFonts w:asciiTheme="minorHAnsi" w:hAnsiTheme="minorHAnsi" w:cstheme="minorHAnsi"/>
        </w:rPr>
        <w:t>not be discriminated against for raising health and safety issues. </w:t>
      </w:r>
    </w:p>
    <w:p w14:paraId="2A10C1BD" w14:textId="77777777" w:rsidR="007D2FCD" w:rsidRDefault="007D2FCD" w:rsidP="007D2FCD"/>
    <w:p w14:paraId="5FE537BD" w14:textId="77777777" w:rsidR="007D2FCD" w:rsidRDefault="007D2FCD" w:rsidP="007D2FCD">
      <w:pPr>
        <w:rPr>
          <w:rFonts w:asciiTheme="minorHAnsi" w:hAnsiTheme="minorHAnsi" w:cstheme="minorHAnsi"/>
          <w:sz w:val="22"/>
          <w:szCs w:val="22"/>
        </w:rPr>
      </w:pPr>
      <w:r w:rsidRPr="007D2FCD">
        <w:rPr>
          <w:rFonts w:asciiTheme="minorHAnsi" w:hAnsiTheme="minorHAnsi" w:cstheme="minorHAnsi"/>
          <w:sz w:val="22"/>
          <w:szCs w:val="22"/>
        </w:rPr>
        <w:t>Workers have the right under Workplace Health and Safety laws to refuse to carry out or stop unsafe work. They have this right if there is a reasonable concern that the worker will be exposed to a serious risk to their health and safety from an immediate or imminent hazard. This could include exposure to the COVID-19 virus.</w:t>
      </w:r>
    </w:p>
    <w:p w14:paraId="779843D2" w14:textId="77777777" w:rsidR="00480781" w:rsidRDefault="00480781" w:rsidP="007D2FCD">
      <w:pPr>
        <w:rPr>
          <w:rFonts w:asciiTheme="minorHAnsi" w:hAnsiTheme="minorHAnsi" w:cstheme="minorHAnsi"/>
          <w:sz w:val="22"/>
          <w:szCs w:val="22"/>
        </w:rPr>
      </w:pPr>
    </w:p>
    <w:p w14:paraId="276EBA4A" w14:textId="77777777" w:rsidR="00480781" w:rsidRDefault="00480781" w:rsidP="007D2FCD">
      <w:pPr>
        <w:rPr>
          <w:rFonts w:asciiTheme="minorHAnsi" w:hAnsiTheme="minorHAnsi" w:cstheme="minorHAnsi"/>
          <w:sz w:val="22"/>
          <w:szCs w:val="22"/>
        </w:rPr>
      </w:pPr>
      <w:r>
        <w:rPr>
          <w:rFonts w:asciiTheme="minorHAnsi" w:hAnsiTheme="minorHAnsi" w:cstheme="minorHAnsi"/>
          <w:sz w:val="22"/>
          <w:szCs w:val="22"/>
        </w:rPr>
        <w:t>Employers must give workers an opportunity to be involved in WHS through:</w:t>
      </w:r>
      <w:r>
        <w:rPr>
          <w:rFonts w:asciiTheme="minorHAnsi" w:hAnsiTheme="minorHAnsi" w:cstheme="minorHAnsi"/>
          <w:sz w:val="22"/>
          <w:szCs w:val="22"/>
        </w:rPr>
        <w:br/>
      </w:r>
    </w:p>
    <w:p w14:paraId="5DED6B0B" w14:textId="77777777" w:rsidR="00480781" w:rsidRDefault="00480781" w:rsidP="00480781">
      <w:pPr>
        <w:pStyle w:val="ListParagraph"/>
        <w:numPr>
          <w:ilvl w:val="0"/>
          <w:numId w:val="7"/>
        </w:numPr>
        <w:pBdr>
          <w:top w:val="nil"/>
          <w:left w:val="nil"/>
          <w:bottom w:val="nil"/>
          <w:right w:val="nil"/>
          <w:between w:val="nil"/>
        </w:pBdr>
        <w:rPr>
          <w:rFonts w:asciiTheme="minorHAnsi" w:hAnsiTheme="minorHAnsi" w:cstheme="minorHAnsi"/>
        </w:rPr>
      </w:pPr>
      <w:r>
        <w:rPr>
          <w:rFonts w:asciiTheme="minorHAnsi" w:hAnsiTheme="minorHAnsi" w:cstheme="minorHAnsi"/>
        </w:rPr>
        <w:t>Training</w:t>
      </w:r>
    </w:p>
    <w:p w14:paraId="78306DBE" w14:textId="77777777" w:rsidR="00480781" w:rsidRDefault="00480781" w:rsidP="00480781">
      <w:pPr>
        <w:pStyle w:val="ListParagraph"/>
        <w:numPr>
          <w:ilvl w:val="0"/>
          <w:numId w:val="7"/>
        </w:numPr>
        <w:pBdr>
          <w:top w:val="nil"/>
          <w:left w:val="nil"/>
          <w:bottom w:val="nil"/>
          <w:right w:val="nil"/>
          <w:between w:val="nil"/>
        </w:pBdr>
        <w:rPr>
          <w:rFonts w:asciiTheme="minorHAnsi" w:hAnsiTheme="minorHAnsi" w:cstheme="minorHAnsi"/>
        </w:rPr>
      </w:pPr>
      <w:r>
        <w:rPr>
          <w:rFonts w:asciiTheme="minorHAnsi" w:hAnsiTheme="minorHAnsi" w:cstheme="minorHAnsi"/>
        </w:rPr>
        <w:t>Consultation</w:t>
      </w:r>
    </w:p>
    <w:p w14:paraId="74EF0FAD" w14:textId="77777777" w:rsidR="00480781" w:rsidRPr="007D2FCD" w:rsidRDefault="00480781" w:rsidP="00480781">
      <w:pPr>
        <w:pStyle w:val="ListParagraph"/>
        <w:numPr>
          <w:ilvl w:val="0"/>
          <w:numId w:val="7"/>
        </w:numPr>
        <w:pBdr>
          <w:top w:val="nil"/>
          <w:left w:val="nil"/>
          <w:bottom w:val="nil"/>
          <w:right w:val="nil"/>
          <w:between w:val="nil"/>
        </w:pBdr>
        <w:rPr>
          <w:rFonts w:asciiTheme="minorHAnsi" w:hAnsiTheme="minorHAnsi" w:cstheme="minorHAnsi"/>
        </w:rPr>
      </w:pPr>
      <w:r>
        <w:rPr>
          <w:rFonts w:asciiTheme="minorHAnsi" w:hAnsiTheme="minorHAnsi" w:cstheme="minorHAnsi"/>
        </w:rPr>
        <w:t>Development of policy and procedures</w:t>
      </w:r>
    </w:p>
    <w:p w14:paraId="12395138" w14:textId="77777777" w:rsidR="007D2FCD" w:rsidRPr="007D2FCD" w:rsidRDefault="007D2FCD" w:rsidP="007D2FCD">
      <w:pPr>
        <w:rPr>
          <w:rFonts w:asciiTheme="minorHAnsi" w:hAnsiTheme="minorHAnsi" w:cstheme="minorHAnsi"/>
          <w:sz w:val="22"/>
          <w:szCs w:val="22"/>
        </w:rPr>
      </w:pPr>
    </w:p>
    <w:p w14:paraId="3BED7E14" w14:textId="77777777" w:rsidR="007D2FCD" w:rsidRPr="007D2FCD" w:rsidRDefault="007D2FCD" w:rsidP="007D2FCD">
      <w:pPr>
        <w:rPr>
          <w:rFonts w:asciiTheme="minorHAnsi" w:hAnsiTheme="minorHAnsi" w:cstheme="minorHAnsi"/>
          <w:sz w:val="22"/>
          <w:szCs w:val="22"/>
        </w:rPr>
      </w:pPr>
    </w:p>
    <w:p w14:paraId="210A899A" w14:textId="77777777" w:rsidR="007D2FCD" w:rsidRPr="007D2FCD" w:rsidRDefault="007D2FCD" w:rsidP="007D2FCD">
      <w:pPr>
        <w:rPr>
          <w:rFonts w:asciiTheme="minorHAnsi" w:hAnsiTheme="minorHAnsi" w:cstheme="minorHAnsi"/>
          <w:sz w:val="22"/>
          <w:szCs w:val="22"/>
        </w:rPr>
      </w:pPr>
    </w:p>
    <w:p w14:paraId="2C4DA599" w14:textId="77777777" w:rsidR="00565932" w:rsidRPr="00771E96" w:rsidRDefault="00565932" w:rsidP="00565932">
      <w:pPr>
        <w:rPr>
          <w:rFonts w:asciiTheme="minorHAnsi" w:hAnsiTheme="minorHAnsi" w:cstheme="minorHAnsi"/>
          <w:sz w:val="22"/>
          <w:szCs w:val="22"/>
        </w:rPr>
      </w:pPr>
    </w:p>
    <w:p w14:paraId="39D6B174" w14:textId="77777777" w:rsidR="00D405B1" w:rsidRPr="00771E96" w:rsidRDefault="00D405B1">
      <w:pPr>
        <w:rPr>
          <w:rFonts w:asciiTheme="minorHAnsi" w:hAnsiTheme="minorHAnsi" w:cstheme="minorHAnsi"/>
        </w:rPr>
      </w:pPr>
    </w:p>
    <w:sectPr w:rsidR="00D405B1" w:rsidRPr="00771E96" w:rsidSect="009F1292">
      <w:footerReference w:type="defaul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1F9A" w14:textId="77777777" w:rsidR="004355BC" w:rsidRDefault="004355BC" w:rsidP="009F1292">
      <w:r>
        <w:separator/>
      </w:r>
    </w:p>
  </w:endnote>
  <w:endnote w:type="continuationSeparator" w:id="0">
    <w:p w14:paraId="42441417" w14:textId="77777777" w:rsidR="004355BC" w:rsidRDefault="004355BC" w:rsidP="009F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13CA" w14:textId="77777777" w:rsidR="009F1292" w:rsidRDefault="009F1292">
    <w:pPr>
      <w:pStyle w:val="Footer"/>
    </w:pPr>
    <w:r>
      <w:rPr>
        <w:noProof/>
      </w:rPr>
      <w:drawing>
        <wp:anchor distT="0" distB="0" distL="114300" distR="114300" simplePos="0" relativeHeight="251659264" behindDoc="0" locked="0" layoutInCell="1" allowOverlap="1" wp14:anchorId="2D75DD87" wp14:editId="1DC04CF4">
          <wp:simplePos x="0" y="0"/>
          <wp:positionH relativeFrom="margin">
            <wp:posOffset>0</wp:posOffset>
          </wp:positionH>
          <wp:positionV relativeFrom="paragraph">
            <wp:posOffset>698831</wp:posOffset>
          </wp:positionV>
          <wp:extent cx="1297305" cy="871855"/>
          <wp:effectExtent l="0" t="0" r="0" b="4445"/>
          <wp:wrapNone/>
          <wp:docPr id="1" name="image2.png" descr="AE CMYK"/>
          <wp:cNvGraphicFramePr/>
          <a:graphic xmlns:a="http://schemas.openxmlformats.org/drawingml/2006/main">
            <a:graphicData uri="http://schemas.openxmlformats.org/drawingml/2006/picture">
              <pic:pic xmlns:pic="http://schemas.openxmlformats.org/drawingml/2006/picture">
                <pic:nvPicPr>
                  <pic:cNvPr id="0" name="image2.png" descr="AE CMYK"/>
                  <pic:cNvPicPr preferRelativeResize="0"/>
                </pic:nvPicPr>
                <pic:blipFill>
                  <a:blip r:embed="rId1"/>
                  <a:srcRect/>
                  <a:stretch>
                    <a:fillRect/>
                  </a:stretch>
                </pic:blipFill>
                <pic:spPr>
                  <a:xfrm>
                    <a:off x="0" y="0"/>
                    <a:ext cx="1297305" cy="871855"/>
                  </a:xfrm>
                  <a:prstGeom prst="rect">
                    <a:avLst/>
                  </a:prstGeom>
                  <a:ln/>
                </pic:spPr>
              </pic:pic>
            </a:graphicData>
          </a:graphic>
        </wp:anchor>
      </w:drawing>
    </w:r>
    <w:r>
      <w:t>Applied Education</w:t>
    </w:r>
    <w:r>
      <w:tab/>
      <w:t>Workplace Health &amp; Safety</w:t>
    </w:r>
    <w:r>
      <w:tab/>
    </w:r>
    <w:r w:rsidRPr="009F1292">
      <w:t xml:space="preserve">Page </w:t>
    </w:r>
    <w:r w:rsidRPr="009F1292">
      <w:rPr>
        <w:bCs/>
      </w:rPr>
      <w:fldChar w:fldCharType="begin"/>
    </w:r>
    <w:r w:rsidRPr="009F1292">
      <w:rPr>
        <w:bCs/>
      </w:rPr>
      <w:instrText xml:space="preserve"> PAGE  \* Arabic  \* MERGEFORMAT </w:instrText>
    </w:r>
    <w:r w:rsidRPr="009F1292">
      <w:rPr>
        <w:bCs/>
      </w:rPr>
      <w:fldChar w:fldCharType="separate"/>
    </w:r>
    <w:r w:rsidR="008E4232">
      <w:rPr>
        <w:bCs/>
        <w:noProof/>
      </w:rPr>
      <w:t>11</w:t>
    </w:r>
    <w:r w:rsidRPr="009F1292">
      <w:rPr>
        <w:bCs/>
      </w:rPr>
      <w:fldChar w:fldCharType="end"/>
    </w:r>
    <w:r w:rsidRPr="009F1292">
      <w:t xml:space="preserve"> of </w:t>
    </w:r>
    <w:r w:rsidRPr="009F1292">
      <w:rPr>
        <w:bCs/>
      </w:rPr>
      <w:fldChar w:fldCharType="begin"/>
    </w:r>
    <w:r w:rsidRPr="009F1292">
      <w:rPr>
        <w:bCs/>
      </w:rPr>
      <w:instrText xml:space="preserve"> NUMPAGES  \* Arabic  \* MERGEFORMAT </w:instrText>
    </w:r>
    <w:r w:rsidRPr="009F1292">
      <w:rPr>
        <w:bCs/>
      </w:rPr>
      <w:fldChar w:fldCharType="separate"/>
    </w:r>
    <w:r w:rsidR="008E4232">
      <w:rPr>
        <w:bCs/>
        <w:noProof/>
      </w:rPr>
      <w:t>11</w:t>
    </w:r>
    <w:r w:rsidRPr="009F129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3F7F" w14:textId="77777777" w:rsidR="004355BC" w:rsidRDefault="004355BC" w:rsidP="009F1292">
      <w:r>
        <w:separator/>
      </w:r>
    </w:p>
  </w:footnote>
  <w:footnote w:type="continuationSeparator" w:id="0">
    <w:p w14:paraId="27BC69D1" w14:textId="77777777" w:rsidR="004355BC" w:rsidRDefault="004355BC" w:rsidP="009F1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E0C6B"/>
    <w:multiLevelType w:val="hybridMultilevel"/>
    <w:tmpl w:val="49825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C73434"/>
    <w:multiLevelType w:val="multilevel"/>
    <w:tmpl w:val="B958E4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D3A7C"/>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A8251E6"/>
    <w:multiLevelType w:val="hybridMultilevel"/>
    <w:tmpl w:val="40600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A621D1"/>
    <w:multiLevelType w:val="hybridMultilevel"/>
    <w:tmpl w:val="1FA0B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2F2C9F"/>
    <w:multiLevelType w:val="hybridMultilevel"/>
    <w:tmpl w:val="324CF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7E6F27"/>
    <w:multiLevelType w:val="hybridMultilevel"/>
    <w:tmpl w:val="09CADE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60780E"/>
    <w:multiLevelType w:val="hybridMultilevel"/>
    <w:tmpl w:val="E11A3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554FE6"/>
    <w:multiLevelType w:val="hybridMultilevel"/>
    <w:tmpl w:val="014A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5284521">
    <w:abstractNumId w:val="2"/>
  </w:num>
  <w:num w:numId="2" w16cid:durableId="1367679496">
    <w:abstractNumId w:val="4"/>
  </w:num>
  <w:num w:numId="3" w16cid:durableId="527764968">
    <w:abstractNumId w:val="5"/>
  </w:num>
  <w:num w:numId="4" w16cid:durableId="151071384">
    <w:abstractNumId w:val="0"/>
  </w:num>
  <w:num w:numId="5" w16cid:durableId="593786721">
    <w:abstractNumId w:val="3"/>
  </w:num>
  <w:num w:numId="6" w16cid:durableId="1260912756">
    <w:abstractNumId w:val="7"/>
  </w:num>
  <w:num w:numId="7" w16cid:durableId="493031748">
    <w:abstractNumId w:val="8"/>
  </w:num>
  <w:num w:numId="8" w16cid:durableId="1262763905">
    <w:abstractNumId w:val="6"/>
  </w:num>
  <w:num w:numId="9" w16cid:durableId="509569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932"/>
    <w:rsid w:val="00137E8D"/>
    <w:rsid w:val="00141E3B"/>
    <w:rsid w:val="003203AF"/>
    <w:rsid w:val="004179DA"/>
    <w:rsid w:val="004355BC"/>
    <w:rsid w:val="00480781"/>
    <w:rsid w:val="00565932"/>
    <w:rsid w:val="00660402"/>
    <w:rsid w:val="006E10A4"/>
    <w:rsid w:val="00771E96"/>
    <w:rsid w:val="007D2FCD"/>
    <w:rsid w:val="008D4F5B"/>
    <w:rsid w:val="008E4232"/>
    <w:rsid w:val="009F1292"/>
    <w:rsid w:val="00BF6263"/>
    <w:rsid w:val="00D33ED0"/>
    <w:rsid w:val="00D405B1"/>
    <w:rsid w:val="00D95EEE"/>
    <w:rsid w:val="00DD224B"/>
    <w:rsid w:val="00E65CCF"/>
    <w:rsid w:val="00FC722D"/>
    <w:rsid w:val="00FF1E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ED35"/>
  <w15:chartTrackingRefBased/>
  <w15:docId w15:val="{5C2D7E89-0EF0-4601-8ED0-BE98A8B1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32"/>
    <w:pPr>
      <w:spacing w:after="0" w:line="240" w:lineRule="auto"/>
    </w:pPr>
    <w:rPr>
      <w:rFonts w:ascii="Times New Roman" w:eastAsia="Times New Roman" w:hAnsi="Times New Roman" w:cs="Times New Roman"/>
      <w:color w:val="000000"/>
      <w:kern w:val="28"/>
      <w:sz w:val="20"/>
      <w:szCs w:val="20"/>
      <w:lang w:eastAsia="en-AU"/>
    </w:rPr>
  </w:style>
  <w:style w:type="paragraph" w:styleId="Heading1">
    <w:name w:val="heading 1"/>
    <w:basedOn w:val="Normal"/>
    <w:next w:val="BodyText"/>
    <w:link w:val="Heading1Char"/>
    <w:qFormat/>
    <w:rsid w:val="00565932"/>
    <w:pPr>
      <w:keepNext/>
      <w:spacing w:before="120" w:after="120"/>
      <w:ind w:left="432" w:hanging="432"/>
      <w:outlineLvl w:val="0"/>
    </w:pPr>
    <w:rPr>
      <w:rFonts w:ascii="Arial" w:hAnsi="Arial"/>
      <w:b/>
      <w:sz w:val="40"/>
      <w:lang w:val="x-none" w:eastAsia="x-none"/>
    </w:rPr>
  </w:style>
  <w:style w:type="paragraph" w:styleId="Heading2">
    <w:name w:val="heading 2"/>
    <w:basedOn w:val="Normal"/>
    <w:next w:val="BodyText"/>
    <w:link w:val="Heading2Char"/>
    <w:qFormat/>
    <w:rsid w:val="00565932"/>
    <w:pPr>
      <w:keepNext/>
      <w:spacing w:before="120" w:after="120"/>
      <w:ind w:left="576" w:hanging="576"/>
      <w:outlineLvl w:val="1"/>
    </w:pPr>
    <w:rPr>
      <w:rFonts w:ascii="Arial" w:hAnsi="Arial"/>
      <w:b/>
      <w:sz w:val="32"/>
      <w:lang w:val="x-none" w:eastAsia="x-none"/>
    </w:rPr>
  </w:style>
  <w:style w:type="paragraph" w:styleId="Heading3">
    <w:name w:val="heading 3"/>
    <w:basedOn w:val="Normal"/>
    <w:next w:val="Normal"/>
    <w:link w:val="Heading3Char"/>
    <w:unhideWhenUsed/>
    <w:qFormat/>
    <w:rsid w:val="00141E3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65932"/>
    <w:pPr>
      <w:keepNext/>
      <w:spacing w:before="240" w:after="60"/>
      <w:ind w:left="864" w:hanging="864"/>
      <w:outlineLvl w:val="3"/>
    </w:pPr>
    <w:rPr>
      <w:rFonts w:ascii="Arial" w:hAnsi="Arial"/>
      <w:b/>
      <w:sz w:val="24"/>
    </w:rPr>
  </w:style>
  <w:style w:type="paragraph" w:styleId="Heading5">
    <w:name w:val="heading 5"/>
    <w:basedOn w:val="Normal"/>
    <w:next w:val="Normal"/>
    <w:link w:val="Heading5Char"/>
    <w:qFormat/>
    <w:rsid w:val="00565932"/>
    <w:pPr>
      <w:spacing w:before="240" w:after="60"/>
      <w:ind w:left="1008" w:hanging="1008"/>
      <w:outlineLvl w:val="4"/>
    </w:pPr>
  </w:style>
  <w:style w:type="paragraph" w:styleId="Heading6">
    <w:name w:val="heading 6"/>
    <w:basedOn w:val="Normal"/>
    <w:next w:val="Normal"/>
    <w:link w:val="Heading6Char"/>
    <w:qFormat/>
    <w:rsid w:val="00565932"/>
    <w:pPr>
      <w:spacing w:before="240" w:after="60"/>
      <w:ind w:left="1152" w:hanging="1152"/>
      <w:outlineLvl w:val="5"/>
    </w:pPr>
    <w:rPr>
      <w:i/>
    </w:rPr>
  </w:style>
  <w:style w:type="paragraph" w:styleId="Heading7">
    <w:name w:val="heading 7"/>
    <w:basedOn w:val="Normal"/>
    <w:next w:val="Normal"/>
    <w:link w:val="Heading7Char"/>
    <w:qFormat/>
    <w:rsid w:val="00565932"/>
    <w:pPr>
      <w:spacing w:before="240" w:after="60"/>
      <w:ind w:left="1296" w:hanging="1296"/>
      <w:outlineLvl w:val="6"/>
    </w:pPr>
    <w:rPr>
      <w:rFonts w:ascii="Arial" w:hAnsi="Arial"/>
    </w:rPr>
  </w:style>
  <w:style w:type="paragraph" w:styleId="Heading8">
    <w:name w:val="heading 8"/>
    <w:basedOn w:val="Normal"/>
    <w:next w:val="Normal"/>
    <w:link w:val="Heading8Char"/>
    <w:qFormat/>
    <w:rsid w:val="00565932"/>
    <w:pPr>
      <w:spacing w:before="240" w:after="60"/>
      <w:ind w:left="1440" w:hanging="1440"/>
      <w:outlineLvl w:val="7"/>
    </w:pPr>
    <w:rPr>
      <w:rFonts w:ascii="Arial" w:hAnsi="Arial"/>
      <w:i/>
    </w:rPr>
  </w:style>
  <w:style w:type="paragraph" w:styleId="Heading9">
    <w:name w:val="heading 9"/>
    <w:basedOn w:val="Normal"/>
    <w:next w:val="Normal"/>
    <w:link w:val="Heading9Char"/>
    <w:qFormat/>
    <w:rsid w:val="00565932"/>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Heading3"/>
    <w:link w:val="Style6Char"/>
    <w:autoRedefine/>
    <w:qFormat/>
    <w:rsid w:val="00141E3B"/>
    <w:pPr>
      <w:spacing w:before="200" w:line="276" w:lineRule="auto"/>
    </w:pPr>
    <w:rPr>
      <w:b/>
      <w:bCs/>
      <w:color w:val="5B9BD5" w:themeColor="accent1"/>
      <w:spacing w:val="24"/>
      <w:szCs w:val="22"/>
    </w:rPr>
  </w:style>
  <w:style w:type="character" w:customStyle="1" w:styleId="Style6Char">
    <w:name w:val="Style6 Char"/>
    <w:basedOn w:val="Heading3Char"/>
    <w:link w:val="Style6"/>
    <w:rsid w:val="00141E3B"/>
    <w:rPr>
      <w:rFonts w:asciiTheme="majorHAnsi" w:eastAsiaTheme="majorEastAsia" w:hAnsiTheme="majorHAnsi" w:cstheme="majorBidi"/>
      <w:b/>
      <w:bCs/>
      <w:color w:val="5B9BD5" w:themeColor="accent1"/>
      <w:spacing w:val="24"/>
      <w:sz w:val="24"/>
      <w:szCs w:val="24"/>
      <w:lang w:eastAsia="en-AU"/>
    </w:rPr>
  </w:style>
  <w:style w:type="character" w:customStyle="1" w:styleId="Heading3Char">
    <w:name w:val="Heading 3 Char"/>
    <w:basedOn w:val="DefaultParagraphFont"/>
    <w:link w:val="Heading3"/>
    <w:uiPriority w:val="9"/>
    <w:semiHidden/>
    <w:rsid w:val="00141E3B"/>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rsid w:val="00565932"/>
    <w:rPr>
      <w:rFonts w:ascii="Arial" w:eastAsia="Times New Roman" w:hAnsi="Arial" w:cs="Times New Roman"/>
      <w:b/>
      <w:color w:val="000000"/>
      <w:kern w:val="28"/>
      <w:sz w:val="40"/>
      <w:szCs w:val="20"/>
      <w:lang w:val="x-none" w:eastAsia="x-none"/>
    </w:rPr>
  </w:style>
  <w:style w:type="character" w:customStyle="1" w:styleId="Heading2Char">
    <w:name w:val="Heading 2 Char"/>
    <w:basedOn w:val="DefaultParagraphFont"/>
    <w:link w:val="Heading2"/>
    <w:rsid w:val="00565932"/>
    <w:rPr>
      <w:rFonts w:ascii="Arial" w:eastAsia="Times New Roman" w:hAnsi="Arial" w:cs="Times New Roman"/>
      <w:b/>
      <w:color w:val="000000"/>
      <w:kern w:val="28"/>
      <w:sz w:val="32"/>
      <w:szCs w:val="20"/>
      <w:lang w:val="x-none" w:eastAsia="x-none"/>
    </w:rPr>
  </w:style>
  <w:style w:type="character" w:customStyle="1" w:styleId="Heading4Char">
    <w:name w:val="Heading 4 Char"/>
    <w:basedOn w:val="DefaultParagraphFont"/>
    <w:link w:val="Heading4"/>
    <w:rsid w:val="00565932"/>
    <w:rPr>
      <w:rFonts w:ascii="Arial" w:eastAsia="Times New Roman" w:hAnsi="Arial" w:cs="Times New Roman"/>
      <w:b/>
      <w:color w:val="000000"/>
      <w:kern w:val="28"/>
      <w:sz w:val="24"/>
      <w:szCs w:val="20"/>
      <w:lang w:eastAsia="en-AU"/>
    </w:rPr>
  </w:style>
  <w:style w:type="character" w:customStyle="1" w:styleId="Heading5Char">
    <w:name w:val="Heading 5 Char"/>
    <w:basedOn w:val="DefaultParagraphFont"/>
    <w:link w:val="Heading5"/>
    <w:rsid w:val="00565932"/>
    <w:rPr>
      <w:rFonts w:ascii="Times New Roman" w:eastAsia="Times New Roman" w:hAnsi="Times New Roman" w:cs="Times New Roman"/>
      <w:color w:val="000000"/>
      <w:kern w:val="28"/>
      <w:sz w:val="20"/>
      <w:szCs w:val="20"/>
      <w:lang w:eastAsia="en-AU"/>
    </w:rPr>
  </w:style>
  <w:style w:type="character" w:customStyle="1" w:styleId="Heading6Char">
    <w:name w:val="Heading 6 Char"/>
    <w:basedOn w:val="DefaultParagraphFont"/>
    <w:link w:val="Heading6"/>
    <w:rsid w:val="00565932"/>
    <w:rPr>
      <w:rFonts w:ascii="Times New Roman" w:eastAsia="Times New Roman" w:hAnsi="Times New Roman" w:cs="Times New Roman"/>
      <w:i/>
      <w:color w:val="000000"/>
      <w:kern w:val="28"/>
      <w:sz w:val="20"/>
      <w:szCs w:val="20"/>
      <w:lang w:eastAsia="en-AU"/>
    </w:rPr>
  </w:style>
  <w:style w:type="character" w:customStyle="1" w:styleId="Heading7Char">
    <w:name w:val="Heading 7 Char"/>
    <w:basedOn w:val="DefaultParagraphFont"/>
    <w:link w:val="Heading7"/>
    <w:rsid w:val="00565932"/>
    <w:rPr>
      <w:rFonts w:ascii="Arial" w:eastAsia="Times New Roman" w:hAnsi="Arial" w:cs="Times New Roman"/>
      <w:color w:val="000000"/>
      <w:kern w:val="28"/>
      <w:sz w:val="20"/>
      <w:szCs w:val="20"/>
      <w:lang w:eastAsia="en-AU"/>
    </w:rPr>
  </w:style>
  <w:style w:type="character" w:customStyle="1" w:styleId="Heading8Char">
    <w:name w:val="Heading 8 Char"/>
    <w:basedOn w:val="DefaultParagraphFont"/>
    <w:link w:val="Heading8"/>
    <w:rsid w:val="00565932"/>
    <w:rPr>
      <w:rFonts w:ascii="Arial" w:eastAsia="Times New Roman" w:hAnsi="Arial" w:cs="Times New Roman"/>
      <w:i/>
      <w:color w:val="000000"/>
      <w:kern w:val="28"/>
      <w:sz w:val="20"/>
      <w:szCs w:val="20"/>
      <w:lang w:eastAsia="en-AU"/>
    </w:rPr>
  </w:style>
  <w:style w:type="character" w:customStyle="1" w:styleId="Heading9Char">
    <w:name w:val="Heading 9 Char"/>
    <w:basedOn w:val="DefaultParagraphFont"/>
    <w:link w:val="Heading9"/>
    <w:rsid w:val="00565932"/>
    <w:rPr>
      <w:rFonts w:ascii="Arial" w:eastAsia="Times New Roman" w:hAnsi="Arial" w:cs="Times New Roman"/>
      <w:b/>
      <w:i/>
      <w:color w:val="000000"/>
      <w:kern w:val="28"/>
      <w:sz w:val="18"/>
      <w:szCs w:val="20"/>
      <w:lang w:eastAsia="en-AU"/>
    </w:rPr>
  </w:style>
  <w:style w:type="paragraph" w:styleId="BodyText">
    <w:name w:val="Body Text"/>
    <w:basedOn w:val="Normal"/>
    <w:link w:val="BodyTextChar"/>
    <w:rsid w:val="00565932"/>
    <w:rPr>
      <w:rFonts w:ascii="Arial" w:hAnsi="Arial"/>
      <w:lang w:val="x-none" w:eastAsia="x-none"/>
    </w:rPr>
  </w:style>
  <w:style w:type="character" w:customStyle="1" w:styleId="BodyTextChar">
    <w:name w:val="Body Text Char"/>
    <w:basedOn w:val="DefaultParagraphFont"/>
    <w:link w:val="BodyText"/>
    <w:rsid w:val="00565932"/>
    <w:rPr>
      <w:rFonts w:ascii="Arial" w:eastAsia="Times New Roman" w:hAnsi="Arial" w:cs="Times New Roman"/>
      <w:color w:val="000000"/>
      <w:kern w:val="28"/>
      <w:sz w:val="20"/>
      <w:szCs w:val="20"/>
      <w:lang w:val="x-none" w:eastAsia="x-none"/>
    </w:rPr>
  </w:style>
  <w:style w:type="character" w:styleId="Hyperlink">
    <w:name w:val="Hyperlink"/>
    <w:uiPriority w:val="99"/>
    <w:rsid w:val="00565932"/>
    <w:rPr>
      <w:color w:val="0000FF"/>
      <w:u w:val="single"/>
    </w:rPr>
  </w:style>
  <w:style w:type="paragraph" w:styleId="ListParagraph">
    <w:name w:val="List Paragraph"/>
    <w:basedOn w:val="Normal"/>
    <w:uiPriority w:val="34"/>
    <w:qFormat/>
    <w:rsid w:val="00565932"/>
    <w:pPr>
      <w:spacing w:after="200" w:line="276" w:lineRule="auto"/>
      <w:ind w:left="720"/>
      <w:contextualSpacing/>
    </w:pPr>
    <w:rPr>
      <w:rFonts w:ascii="Calibri" w:eastAsia="Calibri" w:hAnsi="Calibri"/>
      <w:color w:val="auto"/>
      <w:kern w:val="0"/>
      <w:sz w:val="22"/>
      <w:szCs w:val="22"/>
      <w:lang w:eastAsia="en-US"/>
    </w:rPr>
  </w:style>
  <w:style w:type="paragraph" w:styleId="Header">
    <w:name w:val="header"/>
    <w:basedOn w:val="Normal"/>
    <w:link w:val="HeaderChar"/>
    <w:uiPriority w:val="99"/>
    <w:unhideWhenUsed/>
    <w:rsid w:val="009F1292"/>
    <w:pPr>
      <w:tabs>
        <w:tab w:val="center" w:pos="4513"/>
        <w:tab w:val="right" w:pos="9026"/>
      </w:tabs>
    </w:pPr>
  </w:style>
  <w:style w:type="character" w:customStyle="1" w:styleId="HeaderChar">
    <w:name w:val="Header Char"/>
    <w:basedOn w:val="DefaultParagraphFont"/>
    <w:link w:val="Header"/>
    <w:uiPriority w:val="99"/>
    <w:rsid w:val="009F1292"/>
    <w:rPr>
      <w:rFonts w:ascii="Times New Roman" w:eastAsia="Times New Roman" w:hAnsi="Times New Roman" w:cs="Times New Roman"/>
      <w:color w:val="000000"/>
      <w:kern w:val="28"/>
      <w:sz w:val="20"/>
      <w:szCs w:val="20"/>
      <w:lang w:eastAsia="en-AU"/>
    </w:rPr>
  </w:style>
  <w:style w:type="paragraph" w:styleId="Footer">
    <w:name w:val="footer"/>
    <w:basedOn w:val="Normal"/>
    <w:link w:val="FooterChar"/>
    <w:uiPriority w:val="99"/>
    <w:unhideWhenUsed/>
    <w:rsid w:val="009F1292"/>
    <w:pPr>
      <w:tabs>
        <w:tab w:val="center" w:pos="4513"/>
        <w:tab w:val="right" w:pos="9026"/>
      </w:tabs>
    </w:pPr>
  </w:style>
  <w:style w:type="character" w:customStyle="1" w:styleId="FooterChar">
    <w:name w:val="Footer Char"/>
    <w:basedOn w:val="DefaultParagraphFont"/>
    <w:link w:val="Footer"/>
    <w:uiPriority w:val="99"/>
    <w:rsid w:val="009F1292"/>
    <w:rPr>
      <w:rFonts w:ascii="Times New Roman" w:eastAsia="Times New Roman" w:hAnsi="Times New Roman" w:cs="Times New Roman"/>
      <w:color w:val="000000"/>
      <w:kern w:val="28"/>
      <w:sz w:val="20"/>
      <w:szCs w:val="20"/>
      <w:lang w:eastAsia="en-AU"/>
    </w:rPr>
  </w:style>
  <w:style w:type="paragraph" w:styleId="TOCHeading">
    <w:name w:val="TOC Heading"/>
    <w:basedOn w:val="Heading1"/>
    <w:next w:val="Normal"/>
    <w:uiPriority w:val="39"/>
    <w:unhideWhenUsed/>
    <w:qFormat/>
    <w:rsid w:val="009F1292"/>
    <w:pPr>
      <w:keepLines/>
      <w:spacing w:before="240" w:after="0" w:line="259" w:lineRule="auto"/>
      <w:ind w:left="0" w:firstLine="0"/>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TOC2">
    <w:name w:val="toc 2"/>
    <w:basedOn w:val="Normal"/>
    <w:next w:val="Normal"/>
    <w:autoRedefine/>
    <w:uiPriority w:val="39"/>
    <w:unhideWhenUsed/>
    <w:rsid w:val="00771E96"/>
    <w:pPr>
      <w:spacing w:after="100"/>
      <w:ind w:left="200"/>
    </w:pPr>
    <w:rPr>
      <w:rFonts w:asciiTheme="minorHAnsi" w:hAnsiTheme="minorHAnsi"/>
      <w:sz w:val="24"/>
    </w:rPr>
  </w:style>
  <w:style w:type="paragraph" w:styleId="TOC1">
    <w:name w:val="toc 1"/>
    <w:basedOn w:val="Normal"/>
    <w:next w:val="Normal"/>
    <w:autoRedefine/>
    <w:uiPriority w:val="39"/>
    <w:unhideWhenUsed/>
    <w:rsid w:val="00771E96"/>
    <w:pPr>
      <w:spacing w:after="100" w:line="259" w:lineRule="auto"/>
    </w:pPr>
    <w:rPr>
      <w:rFonts w:asciiTheme="minorHAnsi" w:eastAsiaTheme="minorEastAsia" w:hAnsiTheme="minorHAnsi"/>
      <w:color w:val="auto"/>
      <w:kern w:val="0"/>
      <w:sz w:val="28"/>
      <w:szCs w:val="22"/>
      <w:lang w:val="en-US" w:eastAsia="en-US"/>
    </w:rPr>
  </w:style>
  <w:style w:type="paragraph" w:styleId="TOC3">
    <w:name w:val="toc 3"/>
    <w:basedOn w:val="Normal"/>
    <w:next w:val="Normal"/>
    <w:autoRedefine/>
    <w:uiPriority w:val="39"/>
    <w:unhideWhenUsed/>
    <w:rsid w:val="009F1292"/>
    <w:pPr>
      <w:spacing w:after="100" w:line="259" w:lineRule="auto"/>
      <w:ind w:left="440"/>
    </w:pPr>
    <w:rPr>
      <w:rFonts w:asciiTheme="minorHAnsi" w:eastAsiaTheme="minorEastAsia" w:hAnsiTheme="minorHAnsi"/>
      <w:color w:val="auto"/>
      <w:kern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52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workaustralia.gov.au/"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afeworkaustralia.gov.au/glossary"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worksafe.nt.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orksafe.act.gov.au/health_safety" TargetMode="External"/><Relationship Id="rId10" Type="http://schemas.openxmlformats.org/officeDocument/2006/relationships/endnotes" Target="endnotes.xml"/><Relationship Id="rId19" Type="http://schemas.openxmlformats.org/officeDocument/2006/relationships/hyperlink" Target="https://www.safeworkaustralia.gov.au/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workaustralia.gov.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E0FE01686E7469154EBCD6EBCD036" ma:contentTypeVersion="21" ma:contentTypeDescription="Create a new document." ma:contentTypeScope="" ma:versionID="1f075cf410f9a4c972ec1f5a4c8c2ef0">
  <xsd:schema xmlns:xsd="http://www.w3.org/2001/XMLSchema" xmlns:xs="http://www.w3.org/2001/XMLSchema" xmlns:p="http://schemas.microsoft.com/office/2006/metadata/properties" xmlns:ns2="875f0f33-bec9-4b47-b930-fbbb8a05f325" xmlns:ns3="08641d7b-df1a-4506-997e-b0901f0513dd" targetNamespace="http://schemas.microsoft.com/office/2006/metadata/properties" ma:root="true" ma:fieldsID="9b1339095c30eb4225200b672ead9cf2" ns2:_="" ns3:_="">
    <xsd:import namespace="875f0f33-bec9-4b47-b930-fbbb8a05f325"/>
    <xsd:import namespace="08641d7b-df1a-4506-997e-b0901f0513d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f0f33-bec9-4b47-b930-fbbb8a05f32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23e1c3d-53c0-4e37-94ed-7a75b1aeab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641d7b-df1a-4506-997e-b0901f051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9ee241b-ccf7-43ff-ab3d-29fb15af01ef}" ma:internalName="TaxCatchAll" ma:showField="CatchAllData" ma:web="08641d7b-df1a-4506-997e-b0901f051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ppVersion xmlns="875f0f33-bec9-4b47-b930-fbbb8a05f325" xsi:nil="true"/>
    <CultureName xmlns="875f0f33-bec9-4b47-b930-fbbb8a05f325" xsi:nil="true"/>
    <FolderType xmlns="875f0f33-bec9-4b47-b930-fbbb8a05f325" xsi:nil="true"/>
    <NotebookType xmlns="875f0f33-bec9-4b47-b930-fbbb8a05f325" xsi:nil="true"/>
    <TeamsChannelId xmlns="875f0f33-bec9-4b47-b930-fbbb8a05f325" xsi:nil="true"/>
    <TaxCatchAll xmlns="08641d7b-df1a-4506-997e-b0901f0513dd" xsi:nil="true"/>
    <lcf76f155ced4ddcb4097134ff3c332f xmlns="875f0f33-bec9-4b47-b930-fbbb8a05f3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8C8257-D7F0-40BD-908F-7DE4E8AE0377}">
  <ds:schemaRefs>
    <ds:schemaRef ds:uri="http://schemas.microsoft.com/sharepoint/v3/contenttype/forms"/>
  </ds:schemaRefs>
</ds:datastoreItem>
</file>

<file path=customXml/itemProps2.xml><?xml version="1.0" encoding="utf-8"?>
<ds:datastoreItem xmlns:ds="http://schemas.openxmlformats.org/officeDocument/2006/customXml" ds:itemID="{10FEDFB1-2B1C-4A53-A9A4-57F3D5CE2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f0f33-bec9-4b47-b930-fbbb8a05f325"/>
    <ds:schemaRef ds:uri="08641d7b-df1a-4506-997e-b0901f051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4746B-6CE8-4FD4-B436-E17527AAFC3F}">
  <ds:schemaRefs>
    <ds:schemaRef ds:uri="http://schemas.openxmlformats.org/officeDocument/2006/bibliography"/>
  </ds:schemaRefs>
</ds:datastoreItem>
</file>

<file path=customXml/itemProps4.xml><?xml version="1.0" encoding="utf-8"?>
<ds:datastoreItem xmlns:ds="http://schemas.openxmlformats.org/officeDocument/2006/customXml" ds:itemID="{E7189BA8-BEAA-43B9-AC49-E4A0F84399A2}">
  <ds:schemaRefs>
    <ds:schemaRef ds:uri="http://schemas.microsoft.com/office/2006/metadata/properties"/>
    <ds:schemaRef ds:uri="http://schemas.microsoft.com/office/infopath/2007/PartnerControls"/>
    <ds:schemaRef ds:uri="875f0f33-bec9-4b47-b930-fbbb8a05f325"/>
    <ds:schemaRef ds:uri="08641d7b-df1a-4506-997e-b0901f0513d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jenniferf</dc:creator>
  <cp:keywords/>
  <dc:description/>
  <cp:lastModifiedBy>Debbie Tonus</cp:lastModifiedBy>
  <cp:revision>5</cp:revision>
  <dcterms:created xsi:type="dcterms:W3CDTF">2023-06-26T01:15:00Z</dcterms:created>
  <dcterms:modified xsi:type="dcterms:W3CDTF">2023-06-26T01:20:00Z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0x01010028EE0FE01686E7469154EBCD6EBCD036</vt:lpwstr>
  </property>
  <property fmtid="{D5CDD505-2E9C-101B-9397-08002B2CF9AE}" pid="3" name="MediaServiceImageTags">
    <vt:lpwstr/>
  </property>
</Properties>
</file>